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header1.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pPr>
      <w:r>
        <w:rPr/>
        <mc:AlternateContent>
          <mc:Choice Requires="wps">
            <w:drawing>
              <wp:anchor behindDoc="0" distT="0" distB="0" distL="0" distR="0" simplePos="0" locked="0" layoutInCell="0" allowOverlap="1" relativeHeight="14">
                <wp:simplePos x="0" y="0"/>
                <wp:positionH relativeFrom="column">
                  <wp:posOffset>51435</wp:posOffset>
                </wp:positionH>
                <wp:positionV relativeFrom="paragraph">
                  <wp:posOffset>114300</wp:posOffset>
                </wp:positionV>
                <wp:extent cx="5266690" cy="1423670"/>
                <wp:effectExtent l="0" t="0" r="635" b="23495"/>
                <wp:wrapNone/>
                <wp:docPr id="1" name="Rectángulo 1"/>
                <a:graphic xmlns:a="http://schemas.openxmlformats.org/drawingml/2006/main">
                  <a:graphicData uri="http://schemas.microsoft.com/office/word/2010/wordprocessingShape">
                    <wps:wsp>
                      <wps:cNvSpPr/>
                      <wps:spPr>
                        <a:xfrm>
                          <a:off x="0" y="0"/>
                          <a:ext cx="5266800" cy="1423800"/>
                        </a:xfrm>
                        <a:custGeom>
                          <a:avLst/>
                          <a:gdLst/>
                          <a:ahLst/>
                          <a:rect l="l" t="t" r="r" b="b"/>
                          <a:pathLst>
                            <a:path w="21600" h="21600">
                              <a:moveTo>
                                <a:pt x="0" y="0"/>
                              </a:moveTo>
                              <a:lnTo>
                                <a:pt x="21600" y="0"/>
                              </a:lnTo>
                              <a:lnTo>
                                <a:pt x="21600" y="21600"/>
                              </a:lnTo>
                              <a:lnTo>
                                <a:pt x="0" y="21600"/>
                              </a:lnTo>
                              <a:close/>
                            </a:path>
                          </a:pathLst>
                        </a:custGeom>
                        <a:noFill/>
                        <a:ln w="9360">
                          <a:noFill/>
                        </a:ln>
                        <a:effectLst>
                          <a:outerShdw dist="23040" dir="5400000" blurRad="0" rotWithShape="0">
                            <a:srgbClr val="000000">
                              <a:alpha val="35000"/>
                            </a:srgbClr>
                          </a:outerShdw>
                        </a:effectLst>
                      </wps:spPr>
                      <wps:style>
                        <a:lnRef idx="0"/>
                        <a:fillRef idx="0"/>
                        <a:effectRef idx="0"/>
                        <a:fontRef idx="minor"/>
                      </wps:style>
                      <wps:txbx>
                        <w:txbxContent>
                          <w:p>
                            <w:pPr>
                              <w:bidi w:val="0"/>
                              <w:spacing w:before="0" w:after="0" w:lineRule="auto" w:line="240"/>
                              <w:jc w:val="center"/>
                              <w:rPr/>
                            </w:pPr>
                            <w:r>
                              <w:rPr>
                                <w:sz w:val="72"/>
                                <w:b/>
                                <w:color w:val="FFFFFF"/>
                              </w:rPr>
                              <w:t>Plan Estratégico de Subvenciones</w:t>
                            </w:r>
                          </w:p>
                          <w:p>
                            <w:pPr>
                              <w:bidi w:val="0"/>
                              <w:spacing w:before="0" w:after="0"/>
                              <w:rPr/>
                            </w:pPr>
                            <w:r>
                              <w:rPr/>
                            </w:r>
                          </w:p>
                        </w:txbxContent>
                      </wps:txbx>
                      <wps:bodyPr lIns="92160" rIns="92160" tIns="46440" bIns="46440" anchor="t">
                        <a:noAutofit/>
                      </wps:bodyPr>
                    </wps:wsp>
                  </a:graphicData>
                </a:graphic>
              </wp:anchor>
            </w:drawing>
          </mc:Choice>
          <mc:Fallback>
            <w:pict>
              <v:shape id="shape_0" ID="Rectángulo 1" coordsize="21600,21600" path="m0,0l21600,0l21600,21600l0,21600xe" stroked="f" o:allowincell="f" style="position:absolute;margin-left:4.05pt;margin-top:9pt;width:414.65pt;height:112.05pt;mso-wrap-style:square;v-text-anchor:top">
                <v:textbox>
                  <w:txbxContent>
                    <w:p>
                      <w:pPr>
                        <w:bidi w:val="0"/>
                        <w:spacing w:before="0" w:after="0" w:lineRule="auto" w:line="240"/>
                        <w:jc w:val="center"/>
                        <w:rPr/>
                      </w:pPr>
                      <w:r>
                        <w:rPr>
                          <w:sz w:val="72"/>
                          <w:b/>
                          <w:color w:val="FFFFFF"/>
                        </w:rPr>
                        <w:t>Plan Estratégico de Subvenciones</w:t>
                      </w:r>
                    </w:p>
                    <w:p>
                      <w:pPr>
                        <w:bidi w:val="0"/>
                        <w:spacing w:before="0" w:after="0"/>
                        <w:rPr/>
                      </w:pPr>
                      <w:r>
                        <w:rPr/>
                      </w:r>
                    </w:p>
                  </w:txbxContent>
                </v:textbox>
                <v:fill o:detectmouseclick="t" on="false"/>
                <v:stroke color="#4a7ebb" weight="9360" joinstyle="round" endcap="flat"/>
                <w10:wrap type="none"/>
              </v:shape>
            </w:pict>
          </mc:Fallback>
        </mc:AlternateContent>
        <mc:AlternateContent>
          <mc:Choice Requires="wps">
            <w:drawing>
              <wp:anchor behindDoc="0" distT="0" distB="0" distL="0" distR="0" simplePos="0" locked="0" layoutInCell="0" allowOverlap="1" relativeHeight="15">
                <wp:simplePos x="0" y="0"/>
                <wp:positionH relativeFrom="column">
                  <wp:posOffset>51435</wp:posOffset>
                </wp:positionH>
                <wp:positionV relativeFrom="paragraph">
                  <wp:posOffset>114300</wp:posOffset>
                </wp:positionV>
                <wp:extent cx="5266690" cy="1423670"/>
                <wp:effectExtent l="0" t="0" r="635" b="23495"/>
                <wp:wrapNone/>
                <wp:docPr id="2" name="Rectángulo 2"/>
                <a:graphic xmlns:a="http://schemas.openxmlformats.org/drawingml/2006/main">
                  <a:graphicData uri="http://schemas.microsoft.com/office/word/2010/wordprocessingShape">
                    <wps:wsp>
                      <wps:cNvSpPr/>
                      <wps:spPr>
                        <a:xfrm>
                          <a:off x="0" y="0"/>
                          <a:ext cx="5266800" cy="1423800"/>
                        </a:xfrm>
                        <a:custGeom>
                          <a:avLst/>
                          <a:gdLst/>
                          <a:ahLst/>
                          <a:rect l="l" t="t" r="r" b="b"/>
                          <a:pathLst>
                            <a:path w="21600" h="21600">
                              <a:moveTo>
                                <a:pt x="0" y="0"/>
                              </a:moveTo>
                              <a:lnTo>
                                <a:pt x="21600" y="0"/>
                              </a:lnTo>
                              <a:lnTo>
                                <a:pt x="21600" y="21600"/>
                              </a:lnTo>
                              <a:lnTo>
                                <a:pt x="0" y="21600"/>
                              </a:lnTo>
                              <a:close/>
                            </a:path>
                          </a:pathLst>
                        </a:custGeom>
                        <a:solidFill>
                          <a:srgbClr val="c0c0c0"/>
                        </a:solidFill>
                        <a:ln w="9360">
                          <a:noFill/>
                        </a:ln>
                        <a:effectLst>
                          <a:outerShdw dist="23040" dir="5400000" blurRad="0" rotWithShape="0">
                            <a:srgbClr val="000000">
                              <a:alpha val="35000"/>
                            </a:srgbClr>
                          </a:outerShdw>
                        </a:effectLst>
                      </wps:spPr>
                      <wps:style>
                        <a:lnRef idx="0"/>
                        <a:fillRef idx="0"/>
                        <a:effectRef idx="0"/>
                        <a:fontRef idx="minor"/>
                      </wps:style>
                      <wps:txbx>
                        <w:txbxContent>
                          <w:p>
                            <w:pPr>
                              <w:bidi w:val="0"/>
                              <w:spacing w:before="0" w:after="0" w:lineRule="auto" w:line="240"/>
                              <w:jc w:val="center"/>
                              <w:rPr/>
                            </w:pPr>
                            <w:r>
                              <w:rPr>
                                <w:sz w:val="72"/>
                                <w:b/>
                                <w:rFonts w:ascii="Verdana" w:hAnsi="Verdana" w:eastAsia="Verdana" w:cs="Verdana"/>
                                <w:color w:val="FFFFFF"/>
                              </w:rPr>
                              <w:t>Plan Estratégico de Subvenciones</w:t>
                            </w:r>
                          </w:p>
                          <w:p>
                            <w:pPr>
                              <w:bidi w:val="0"/>
                              <w:spacing w:before="0" w:after="0"/>
                              <w:rPr/>
                            </w:pPr>
                            <w:r>
                              <w:rPr/>
                            </w:r>
                          </w:p>
                        </w:txbxContent>
                      </wps:txbx>
                      <wps:bodyPr lIns="92160" rIns="92160" tIns="46440" bIns="46440" anchor="t">
                        <a:noAutofit/>
                      </wps:bodyPr>
                    </wps:wsp>
                  </a:graphicData>
                </a:graphic>
              </wp:anchor>
            </w:drawing>
          </mc:Choice>
          <mc:Fallback>
            <w:pict>
              <v:shape id="shape_0" ID="Rectángulo 2" coordsize="21600,21600" path="m0,0l21600,0l21600,21600l0,21600xe" fillcolor="silver" stroked="f" o:allowincell="f" style="position:absolute;margin-left:4.05pt;margin-top:9pt;width:414.65pt;height:112.05pt;mso-wrap-style:square;v-text-anchor:top">
                <v:textbox>
                  <w:txbxContent>
                    <w:p>
                      <w:pPr>
                        <w:bidi w:val="0"/>
                        <w:spacing w:before="0" w:after="0" w:lineRule="auto" w:line="240"/>
                        <w:jc w:val="center"/>
                        <w:rPr/>
                      </w:pPr>
                      <w:r>
                        <w:rPr>
                          <w:sz w:val="72"/>
                          <w:b/>
                          <w:rFonts w:ascii="Verdana" w:hAnsi="Verdana" w:eastAsia="Verdana" w:cs="Verdana"/>
                          <w:color w:val="FFFFFF"/>
                        </w:rPr>
                        <w:t>Plan Estratégico de Subvenciones</w:t>
                      </w:r>
                    </w:p>
                    <w:p>
                      <w:pPr>
                        <w:bidi w:val="0"/>
                        <w:spacing w:before="0" w:after="0"/>
                        <w:rPr/>
                      </w:pPr>
                      <w:r>
                        <w:rPr/>
                      </w:r>
                    </w:p>
                  </w:txbxContent>
                </v:textbox>
                <v:fill o:detectmouseclick="t" type="solid" color2="#3f3f3f"/>
                <v:stroke color="#4a7ebb" weight="9360" joinstyle="round" endcap="flat"/>
                <v:shadow on="t" obscured="f" color="black"/>
                <w10:wrap type="none"/>
              </v:shape>
            </w:pict>
          </mc:Fallback>
        </mc:AlternateContent>
      </w:r>
    </w:p>
    <w:p>
      <w:pPr>
        <w:pStyle w:val="Normal1"/>
        <w:rPr>
          <w:rFonts w:ascii="Roboto" w:hAnsi="Roboto" w:eastAsia="Roboto" w:cs="Roboto"/>
          <w:b/>
          <w:b/>
          <w:bCs/>
        </w:rPr>
      </w:pPr>
      <w:r>
        <w:rPr>
          <w:rFonts w:eastAsia="Roboto" w:cs="Roboto" w:ascii="Roboto" w:hAnsi="Roboto"/>
          <w:b/>
          <w:bCs/>
        </w:rPr>
      </w:r>
    </w:p>
    <w:p>
      <w:pPr>
        <w:pStyle w:val="Normal1"/>
        <w:rPr>
          <w:rFonts w:ascii="Roboto" w:hAnsi="Roboto" w:eastAsia="Roboto" w:cs="Roboto"/>
          <w:b/>
          <w:b/>
          <w:bCs/>
        </w:rPr>
      </w:pPr>
      <w:r>
        <w:rPr>
          <w:rFonts w:eastAsia="Roboto" w:cs="Roboto" w:ascii="Roboto" w:hAnsi="Roboto"/>
          <w:b/>
          <w:bCs/>
        </w:rPr>
      </w:r>
    </w:p>
    <w:p>
      <w:pPr>
        <w:pStyle w:val="Normal1"/>
        <w:jc w:val="center"/>
        <w:rPr>
          <w:rFonts w:ascii="Roboto" w:hAnsi="Roboto" w:eastAsia="Roboto" w:cs="Roboto"/>
          <w:b/>
          <w:b/>
          <w:bCs/>
        </w:rPr>
      </w:pPr>
      <w:r>
        <w:rPr>
          <w:rFonts w:eastAsia="Roboto" w:cs="Roboto" w:ascii="Roboto" w:hAnsi="Roboto"/>
          <w:b/>
          <w:bCs/>
        </w:rPr>
        <w:t xml:space="preserve">PLAN </w:t>
      </w:r>
    </w:p>
    <w:p>
      <w:pPr>
        <w:pStyle w:val="Normal1"/>
        <w:pBdr/>
        <w:tabs>
          <w:tab w:val="clear" w:pos="720"/>
          <w:tab w:val="center" w:pos="4252" w:leader="none"/>
          <w:tab w:val="right" w:pos="8504" w:leader="none"/>
        </w:tabs>
        <w:rPr>
          <w:rFonts w:ascii="Roboto" w:hAnsi="Roboto" w:eastAsia="Roboto" w:cs="Roboto"/>
          <w:b/>
          <w:b/>
          <w:bCs/>
        </w:rPr>
      </w:pPr>
      <w:r>
        <w:rPr>
          <w:rFonts w:eastAsia="Roboto" w:cs="Roboto" w:ascii="Roboto" w:hAnsi="Roboto"/>
          <w:b/>
          <w:bCs/>
        </w:rPr>
      </w:r>
    </w:p>
    <w:p>
      <w:pPr>
        <w:pStyle w:val="Normal1"/>
        <w:pBdr/>
        <w:tabs>
          <w:tab w:val="clear" w:pos="720"/>
          <w:tab w:val="center" w:pos="4252" w:leader="none"/>
          <w:tab w:val="right" w:pos="8504" w:leader="none"/>
        </w:tabs>
        <w:spacing w:lineRule="auto" w:line="240"/>
        <w:rPr>
          <w:rFonts w:ascii="Roboto" w:hAnsi="Roboto" w:eastAsia="Roboto" w:cs="Roboto"/>
        </w:rPr>
      </w:pPr>
      <w:r>
        <w:rPr>
          <w:rFonts w:eastAsia="Roboto" w:cs="Roboto" w:ascii="Roboto" w:hAnsi="Roboto"/>
        </w:rPr>
      </w:r>
    </w:p>
    <w:p>
      <w:pPr>
        <w:pStyle w:val="Normal1"/>
        <w:pBdr/>
        <w:tabs>
          <w:tab w:val="clear" w:pos="720"/>
          <w:tab w:val="center" w:pos="4252" w:leader="none"/>
          <w:tab w:val="right" w:pos="8504" w:leader="none"/>
        </w:tabs>
        <w:spacing w:lineRule="auto" w:line="24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De conformidad tanto con el art. 8 de la Ley 38/2003, de 17 de noviembre, General de Subvenciones, así como con lo dispuesto en el Capítulo III, sección 1ª, del Título Preliminar, del Real Decreto 887/2006, de 21 de julio, que aprueba su Reglamento, como con la propia Ordenanza General de Subvenciones del Cabildo de Gran Canaria, el “Plan estratégico de Subvenciones” se configura como instrumento de planificación de la política pública que tenga por objeto el fomento de una actividad de utilidad pública o interés social o de promoción de una finalidad pública.</w:t>
      </w:r>
    </w:p>
    <w:p>
      <w:pPr>
        <w:pStyle w:val="Normal1"/>
        <w:pBdr/>
        <w:tabs>
          <w:tab w:val="clear" w:pos="720"/>
          <w:tab w:val="center" w:pos="4252" w:leader="none"/>
          <w:tab w:val="right" w:pos="8504" w:leader="none"/>
        </w:tabs>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En la Ordenanza de Subvenciones del Cabildo de Gran Canaria establece que el Plan estratégico de Subvenciones fijará los objetivos y efectos que se pretenden con su aplicación, el plazo necesario para su consecución, los costes previsibles y sus fuentes de financiación, supeditándose en todo caso al cumplimiento de los objetivos de estabilidad presupuestaria.</w:t>
      </w:r>
    </w:p>
    <w:p>
      <w:pPr>
        <w:pStyle w:val="Normal1"/>
        <w:pBdr/>
        <w:tabs>
          <w:tab w:val="clear" w:pos="720"/>
          <w:tab w:val="center" w:pos="4252" w:leader="none"/>
          <w:tab w:val="right" w:pos="8504" w:leader="none"/>
        </w:tabs>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El Plan Estratégico de Subvenciones se convierte así en un instrumento de enorme utilidad para garantizar la participación de los diferentes colectivos o personas físicas en el logro de los fines primordiales del IAS, cuales son la realización en la isla de Gran Canaria de actividades de promoción, prestación y gestión directa o indirecta de recursos y servicios sociosanitarios.</w:t>
      </w:r>
    </w:p>
    <w:p>
      <w:pPr>
        <w:pStyle w:val="Normal1"/>
        <w:spacing w:before="0" w:after="0"/>
        <w:rPr>
          <w:rFonts w:ascii="Roboto" w:hAnsi="Roboto" w:eastAsia="Roboto" w:cs="Roboto"/>
        </w:rPr>
      </w:pPr>
      <w:r>
        <w:rPr>
          <w:rFonts w:eastAsia="Roboto" w:cs="Roboto" w:ascii="Roboto" w:hAnsi="Roboto"/>
        </w:rPr>
      </w:r>
    </w:p>
    <w:p>
      <w:pPr>
        <w:pStyle w:val="Normal1"/>
        <w:spacing w:before="0" w:after="0"/>
        <w:rPr/>
      </w:pPr>
      <w:r>
        <w:rPr>
          <w:rStyle w:val="Fuentedeprrafopredeter"/>
          <w:rFonts w:eastAsia="Roboto" w:cs="Roboto" w:ascii="Roboto" w:hAnsi="Roboto"/>
        </w:rPr>
        <w:t xml:space="preserve">Pero es, asimismo un instrumento necesario e imprescindible para la concesión de subvenciones, tal y como establece de forma literal: </w:t>
      </w:r>
      <w:r>
        <w:rPr>
          <w:rStyle w:val="Fuentedeprrafopredeter"/>
          <w:rFonts w:eastAsia="Roboto" w:cs="Roboto" w:ascii="Roboto" w:hAnsi="Roboto"/>
          <w:i/>
          <w:iCs/>
        </w:rPr>
        <w:t>“no podrán ser aprobadas líneas de subvenciones no previstas en el Plan estratégico de Subvenciones aprobado, salvo que se justifique debidamente en el procedimiento, la necesidad inaplazable de hacer frente a una actividad de utilidad pública o de interés social. A estos efectos el Pleno habrá de pronunciarse expresamente sobre la procedencia de la modificación del plan estratégico</w:t>
      </w:r>
      <w:r>
        <w:rPr>
          <w:rStyle w:val="Fuentedeprrafopredeter"/>
          <w:rFonts w:eastAsia="Roboto" w:cs="Roboto" w:ascii="Roboto" w:hAnsi="Roboto"/>
        </w:rPr>
        <w:t>”. En idénticos términos se expresan las Bases de Ejecución del Presupuesto del Cabildo de Gran Canaria.</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Como objetivo primordial de la Ley se recoge la transparencia, lo cual implica un incremento de los niveles de eficacia y eficiencia en la gestión del gasto público en cuanto a las subvenciones se refiere.</w:t>
      </w:r>
    </w:p>
    <w:p>
      <w:pPr>
        <w:pStyle w:val="Normal1"/>
        <w:spacing w:before="0" w:after="0"/>
        <w:rPr>
          <w:rFonts w:ascii="Roboto" w:hAnsi="Roboto" w:eastAsia="Roboto" w:cs="Roboto"/>
        </w:rPr>
      </w:pPr>
      <w:r>
        <w:rPr>
          <w:rFonts w:eastAsia="Roboto" w:cs="Roboto" w:ascii="Roboto" w:hAnsi="Roboto"/>
        </w:rPr>
      </w:r>
    </w:p>
    <w:p>
      <w:pPr>
        <w:pStyle w:val="Normal1"/>
        <w:spacing w:before="0" w:after="0"/>
        <w:rPr/>
      </w:pPr>
      <w:r>
        <w:rPr>
          <w:rStyle w:val="Fuentedeprrafopredeter"/>
          <w:rFonts w:eastAsia="Roboto" w:cs="Roboto" w:ascii="Roboto" w:hAnsi="Roboto"/>
        </w:rPr>
        <w:t xml:space="preserve">Para la ejecución y puesta en marcha del </w:t>
      </w:r>
      <w:r>
        <w:rPr>
          <w:rStyle w:val="Fuentedeprrafopredeter"/>
          <w:rFonts w:eastAsia="Roboto" w:cs="Roboto" w:ascii="Roboto" w:hAnsi="Roboto"/>
          <w:b/>
          <w:bCs/>
        </w:rPr>
        <w:t>Plan Estratégico de Subvenciones del IAS para 2026</w:t>
      </w:r>
      <w:r>
        <w:rPr>
          <w:rStyle w:val="Fuentedeprrafopredeter"/>
          <w:rFonts w:eastAsia="Roboto" w:cs="Roboto" w:ascii="Roboto" w:hAnsi="Roboto"/>
        </w:rPr>
        <w:t xml:space="preserve"> se contemplan una serie de actuaciones o programas que es preciso ejecutar en dicho ejercicio con el fin de ir alcanzando progresivamente los objetivos y estrategias fijados en el mismo.</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b/>
          <w:b/>
          <w:bCs/>
        </w:rPr>
      </w:pPr>
      <w:r>
        <w:rPr>
          <w:rFonts w:eastAsia="Roboto" w:cs="Roboto" w:ascii="Roboto" w:hAnsi="Roboto"/>
          <w:b/>
          <w:bCs/>
        </w:rPr>
        <w:t>Objetivos y Acciones estratégicas</w:t>
      </w:r>
    </w:p>
    <w:p>
      <w:pPr>
        <w:pStyle w:val="Normal1"/>
        <w:spacing w:before="0" w:after="0"/>
        <w:rPr>
          <w:rFonts w:ascii="Roboto" w:hAnsi="Roboto" w:eastAsia="Roboto" w:cs="Roboto"/>
          <w:b/>
          <w:b/>
          <w:bCs/>
        </w:rPr>
      </w:pPr>
      <w:r>
        <w:rPr>
          <w:rFonts w:eastAsia="Roboto" w:cs="Roboto" w:ascii="Roboto" w:hAnsi="Roboto"/>
          <w:b/>
          <w:bCs/>
        </w:rPr>
      </w:r>
    </w:p>
    <w:p>
      <w:pPr>
        <w:pStyle w:val="Normal1"/>
        <w:spacing w:before="0" w:after="0"/>
        <w:rPr>
          <w:rFonts w:ascii="Roboto" w:hAnsi="Roboto" w:eastAsia="Roboto" w:cs="Roboto"/>
        </w:rPr>
      </w:pPr>
      <w:r>
        <w:rPr>
          <w:rFonts w:eastAsia="Roboto" w:cs="Roboto" w:ascii="Roboto" w:hAnsi="Roboto"/>
        </w:rPr>
        <w:t>Como no puede ser de otra manera los mismos han de estar íntimamente ligados a los objetivos del presupuesto anual de este Organismo. De esta manera tenemos como objetivo general:</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i/>
          <w:i/>
          <w:iCs/>
        </w:rPr>
      </w:pPr>
      <w:r>
        <w:rPr>
          <w:rFonts w:eastAsia="Roboto" w:cs="Roboto" w:ascii="Roboto" w:hAnsi="Roboto"/>
          <w:i/>
          <w:iCs/>
        </w:rPr>
        <w:t>La prestación de servicios en establecimientos residenciales; centros de estancia diurna, alojamientos tutelados y hogares funcionales, a personas con discapacidad, con edades comprendidas entre los 17 y 64 años de edad, en los sectores de necesidad de tercera persona; discapacidad intelectual; enfermedad mental y al colectivo de personas con enfermedad de Alzheimer y otras demencias.</w:t>
      </w:r>
    </w:p>
    <w:p>
      <w:pPr>
        <w:pStyle w:val="Normal1"/>
        <w:spacing w:before="0" w:after="0"/>
        <w:rPr>
          <w:rFonts w:ascii="Roboto" w:hAnsi="Roboto" w:eastAsia="Roboto" w:cs="Roboto"/>
          <w:i/>
          <w:i/>
          <w:iCs/>
        </w:rPr>
      </w:pPr>
      <w:r>
        <w:rPr>
          <w:rFonts w:eastAsia="Roboto" w:cs="Roboto" w:ascii="Roboto" w:hAnsi="Roboto"/>
          <w:i/>
          <w:iCs/>
        </w:rPr>
      </w:r>
    </w:p>
    <w:p>
      <w:pPr>
        <w:pStyle w:val="Normal1"/>
        <w:spacing w:before="0" w:after="0"/>
        <w:rPr/>
      </w:pPr>
      <w:r>
        <w:rPr>
          <w:rStyle w:val="Fuentedeprrafopredeter"/>
          <w:rFonts w:eastAsia="Roboto" w:cs="Roboto" w:ascii="Roboto" w:hAnsi="Roboto"/>
        </w:rPr>
        <w:t xml:space="preserve">De ahí que las </w:t>
      </w:r>
      <w:r>
        <w:rPr>
          <w:rStyle w:val="Fuentedeprrafopredeter"/>
          <w:rFonts w:eastAsia="Roboto" w:cs="Roboto" w:ascii="Roboto" w:hAnsi="Roboto"/>
          <w:b/>
          <w:bCs/>
        </w:rPr>
        <w:t>principales líneas de subvención</w:t>
      </w:r>
      <w:r>
        <w:rPr>
          <w:rStyle w:val="Fuentedeprrafopredeter"/>
          <w:rFonts w:eastAsia="Roboto" w:cs="Roboto" w:ascii="Roboto" w:hAnsi="Roboto"/>
        </w:rPr>
        <w:t xml:space="preserve"> de este Organismo están dirigidas a la consecución de la siguiente acción estratégica:</w:t>
      </w:r>
    </w:p>
    <w:p>
      <w:pPr>
        <w:pStyle w:val="Normal1"/>
        <w:spacing w:before="0" w:after="0"/>
        <w:rPr>
          <w:rFonts w:ascii="Roboto" w:hAnsi="Roboto" w:eastAsia="Roboto" w:cs="Roboto"/>
        </w:rPr>
      </w:pPr>
      <w:r>
        <w:rPr>
          <w:rFonts w:eastAsia="Roboto" w:cs="Roboto" w:ascii="Roboto" w:hAnsi="Roboto"/>
        </w:rPr>
      </w:r>
    </w:p>
    <w:p>
      <w:pPr>
        <w:pStyle w:val="Normal1"/>
        <w:numPr>
          <w:ilvl w:val="0"/>
          <w:numId w:val="2"/>
        </w:numPr>
        <w:spacing w:before="0" w:after="0"/>
        <w:rPr>
          <w:rFonts w:ascii="Roboto" w:hAnsi="Roboto" w:eastAsia="Roboto" w:cs="Roboto"/>
        </w:rPr>
      </w:pPr>
      <w:r>
        <w:rPr>
          <w:rFonts w:eastAsia="Roboto" w:cs="Roboto" w:ascii="Roboto" w:hAnsi="Roboto"/>
        </w:rPr>
        <w:t>Prestación, de forma directa o indirecta, de los servicios tales que permitan, en su correspondiente ámbito territorial, poner a disposición de la Red Pública de Servicios Sociales los recursos necesarios para la atención de personas en situación de Dependencia y, en general, a Personas Mayores o con Discapacidad.</w:t>
      </w:r>
    </w:p>
    <w:p>
      <w:pPr>
        <w:pStyle w:val="Normal1"/>
        <w:spacing w:before="0" w:after="0"/>
        <w:rPr>
          <w:rFonts w:ascii="Roboto" w:hAnsi="Roboto" w:eastAsia="Roboto" w:cs="Roboto"/>
        </w:rPr>
      </w:pPr>
      <w:r>
        <w:rPr>
          <w:rFonts w:eastAsia="Roboto" w:cs="Roboto" w:ascii="Roboto" w:hAnsi="Roboto"/>
        </w:rPr>
        <w:t>Para hacer efectiva la anterior acción estratégica será necesario desarrollar el Plan Operativo anual del 2026 que se configura como el elemento de unión entre el nivel estratégico y el nivel operativo o de resultados anuales y que estará asociado al Presupuesto anual 2026 del IAS.</w:t>
      </w:r>
    </w:p>
    <w:p>
      <w:pPr>
        <w:pStyle w:val="Normal1"/>
        <w:spacing w:before="0" w:after="0"/>
        <w:rPr>
          <w:rFonts w:ascii="Roboto" w:hAnsi="Roboto" w:eastAsia="Roboto" w:cs="Roboto"/>
          <w:b/>
          <w:b/>
          <w:bCs/>
        </w:rPr>
      </w:pPr>
      <w:r>
        <w:rPr>
          <w:rFonts w:eastAsia="Roboto" w:cs="Roboto" w:ascii="Roboto" w:hAnsi="Roboto"/>
          <w:b/>
          <w:bCs/>
        </w:rPr>
      </w:r>
    </w:p>
    <w:p>
      <w:pPr>
        <w:pStyle w:val="Normal1"/>
        <w:spacing w:before="0" w:after="0"/>
        <w:rPr>
          <w:rFonts w:ascii="Roboto" w:hAnsi="Roboto" w:eastAsia="Roboto" w:cs="Roboto"/>
          <w:b/>
          <w:b/>
          <w:bCs/>
        </w:rPr>
      </w:pPr>
      <w:r>
        <w:rPr>
          <w:rFonts w:eastAsia="Roboto" w:cs="Roboto" w:ascii="Roboto" w:hAnsi="Roboto"/>
          <w:b/>
          <w:bCs/>
        </w:rPr>
        <w:t>Contenidos del Plan Operativo Anual de Subvenciones 2026:</w:t>
      </w:r>
    </w:p>
    <w:p>
      <w:pPr>
        <w:pStyle w:val="Normal1"/>
        <w:spacing w:before="0" w:after="0"/>
        <w:rPr>
          <w:rFonts w:ascii="Roboto" w:hAnsi="Roboto" w:eastAsia="Roboto" w:cs="Roboto"/>
          <w:b/>
          <w:b/>
          <w:bCs/>
        </w:rPr>
      </w:pPr>
      <w:r>
        <w:rPr>
          <w:rFonts w:eastAsia="Roboto" w:cs="Roboto" w:ascii="Roboto" w:hAnsi="Roboto"/>
          <w:b/>
          <w:bCs/>
        </w:rPr>
      </w:r>
    </w:p>
    <w:p>
      <w:pPr>
        <w:pStyle w:val="Normal1"/>
        <w:numPr>
          <w:ilvl w:val="0"/>
          <w:numId w:val="3"/>
        </w:numPr>
        <w:spacing w:before="0" w:after="0"/>
        <w:rPr>
          <w:rFonts w:ascii="Roboto" w:hAnsi="Roboto" w:eastAsia="Roboto" w:cs="Roboto"/>
        </w:rPr>
      </w:pPr>
      <w:r>
        <w:rPr>
          <w:rFonts w:eastAsia="Roboto" w:cs="Roboto" w:ascii="Roboto" w:hAnsi="Roboto"/>
        </w:rPr>
        <w:t>Las líneas de subvención en la que se concreta el presente plan de actuación anual, contendrá cada una de ellas los siguientes apartados:</w:t>
      </w:r>
    </w:p>
    <w:p>
      <w:pPr>
        <w:pStyle w:val="Normal1"/>
        <w:numPr>
          <w:ilvl w:val="1"/>
          <w:numId w:val="3"/>
        </w:numPr>
        <w:spacing w:before="0" w:after="0"/>
        <w:rPr>
          <w:rFonts w:ascii="Roboto" w:hAnsi="Roboto" w:eastAsia="Roboto" w:cs="Roboto"/>
        </w:rPr>
      </w:pPr>
      <w:r>
        <w:rPr>
          <w:rFonts w:eastAsia="Roboto" w:cs="Roboto" w:ascii="Roboto" w:hAnsi="Roboto"/>
        </w:rPr>
        <w:t>Sectores que recibirán la ayuda.</w:t>
      </w:r>
    </w:p>
    <w:p>
      <w:pPr>
        <w:pStyle w:val="Normal1"/>
        <w:numPr>
          <w:ilvl w:val="1"/>
          <w:numId w:val="3"/>
        </w:numPr>
        <w:spacing w:before="0" w:after="0"/>
        <w:rPr>
          <w:rFonts w:ascii="Roboto" w:hAnsi="Roboto" w:eastAsia="Roboto" w:cs="Roboto"/>
        </w:rPr>
      </w:pPr>
      <w:r>
        <w:rPr>
          <w:rFonts w:eastAsia="Roboto" w:cs="Roboto" w:ascii="Roboto" w:hAnsi="Roboto"/>
        </w:rPr>
        <w:t xml:space="preserve">Objetivos y efectos que se pretenden con su aplicación </w:t>
      </w:r>
    </w:p>
    <w:p>
      <w:pPr>
        <w:pStyle w:val="Normal1"/>
        <w:numPr>
          <w:ilvl w:val="1"/>
          <w:numId w:val="3"/>
        </w:numPr>
        <w:spacing w:before="0" w:after="0"/>
        <w:rPr>
          <w:rFonts w:ascii="Roboto" w:hAnsi="Roboto" w:eastAsia="Roboto" w:cs="Roboto"/>
        </w:rPr>
      </w:pPr>
      <w:r>
        <w:rPr>
          <w:rFonts w:eastAsia="Roboto" w:cs="Roboto" w:ascii="Roboto" w:hAnsi="Roboto"/>
        </w:rPr>
        <w:t>Plazo necesario para su consecución.</w:t>
      </w:r>
    </w:p>
    <w:p>
      <w:pPr>
        <w:pStyle w:val="Normal1"/>
        <w:numPr>
          <w:ilvl w:val="1"/>
          <w:numId w:val="3"/>
        </w:numPr>
        <w:spacing w:before="0" w:after="0"/>
        <w:rPr>
          <w:rFonts w:ascii="Roboto" w:hAnsi="Roboto" w:eastAsia="Roboto" w:cs="Roboto"/>
        </w:rPr>
      </w:pPr>
      <w:r>
        <w:rPr>
          <w:rFonts w:eastAsia="Roboto" w:cs="Roboto" w:ascii="Roboto" w:hAnsi="Roboto"/>
        </w:rPr>
        <w:t>Costes previsibles para su realización.</w:t>
      </w:r>
    </w:p>
    <w:p>
      <w:pPr>
        <w:pStyle w:val="Normal1"/>
        <w:spacing w:before="0" w:after="0"/>
        <w:rPr>
          <w:rFonts w:ascii="Roboto" w:hAnsi="Roboto" w:eastAsia="Roboto" w:cs="Roboto"/>
        </w:rPr>
      </w:pPr>
      <w:r>
        <w:rPr>
          <w:rFonts w:eastAsia="Roboto" w:cs="Roboto" w:ascii="Roboto" w:hAnsi="Roboto"/>
        </w:rPr>
      </w:r>
    </w:p>
    <w:p>
      <w:pPr>
        <w:pStyle w:val="Normal1"/>
        <w:numPr>
          <w:ilvl w:val="0"/>
          <w:numId w:val="3"/>
        </w:numPr>
        <w:spacing w:before="0" w:after="0"/>
        <w:rPr>
          <w:rFonts w:ascii="Roboto" w:hAnsi="Roboto" w:eastAsia="Roboto" w:cs="Roboto"/>
        </w:rPr>
      </w:pPr>
      <w:r>
        <w:rPr>
          <w:rFonts w:eastAsia="Roboto" w:cs="Roboto" w:ascii="Roboto" w:hAnsi="Roboto"/>
        </w:rPr>
        <w:t>El plazo del presente Plan se circunscribe a actuaciones que se desarrollarán durante el ejercicio 2026.</w:t>
      </w:r>
    </w:p>
    <w:p>
      <w:pPr>
        <w:pStyle w:val="Normal1"/>
        <w:tabs>
          <w:tab w:val="clear" w:pos="720"/>
        </w:tabs>
        <w:spacing w:before="0" w:after="0"/>
        <w:ind w:left="720" w:right="0" w:hanging="0"/>
        <w:rPr>
          <w:rFonts w:ascii="Roboto" w:hAnsi="Roboto" w:eastAsia="Roboto" w:cs="Roboto"/>
        </w:rPr>
      </w:pPr>
      <w:r>
        <w:rPr>
          <w:rFonts w:eastAsia="Roboto" w:cs="Roboto" w:ascii="Roboto" w:hAnsi="Roboto"/>
        </w:rPr>
      </w:r>
    </w:p>
    <w:p>
      <w:pPr>
        <w:pStyle w:val="Normal1"/>
        <w:numPr>
          <w:ilvl w:val="0"/>
          <w:numId w:val="3"/>
        </w:numPr>
        <w:spacing w:before="0" w:after="0"/>
        <w:rPr/>
      </w:pPr>
      <w:r>
        <w:rPr>
          <w:rStyle w:val="Fuentedeprrafopredeter"/>
          <w:rFonts w:eastAsia="Roboto" w:cs="Roboto" w:ascii="Roboto" w:hAnsi="Roboto"/>
        </w:rPr>
        <w:t xml:space="preserve">Las previsiones de costes y fuentes de financiación descritas en este Plan Operativo Anual, serán íntegramente con fondos propios del IAS, en concreto con cargo a los créditos contemplados en el </w:t>
      </w:r>
      <w:r>
        <w:rPr>
          <w:rStyle w:val="Fuentedeprrafopredeter"/>
          <w:rFonts w:eastAsia="Roboto" w:cs="Roboto" w:ascii="Roboto" w:hAnsi="Roboto"/>
          <w:b/>
          <w:bCs/>
        </w:rPr>
        <w:t>Capítulo 4 del Presupuesto de Gastos para 2026</w:t>
      </w:r>
      <w:r>
        <w:rPr>
          <w:rStyle w:val="Fuentedeprrafopredeter"/>
          <w:rFonts w:eastAsia="Roboto" w:cs="Roboto" w:ascii="Roboto" w:hAnsi="Roboto"/>
        </w:rPr>
        <w:t>.</w:t>
      </w:r>
    </w:p>
    <w:p>
      <w:pPr>
        <w:pStyle w:val="Normal1"/>
        <w:spacing w:before="0" w:after="0"/>
        <w:rPr>
          <w:rFonts w:ascii="Roboto" w:hAnsi="Roboto" w:eastAsia="Roboto" w:cs="Roboto"/>
          <w:b/>
          <w:b/>
          <w:bCs/>
        </w:rPr>
      </w:pPr>
      <w:r>
        <w:rPr>
          <w:rFonts w:eastAsia="Roboto" w:cs="Roboto" w:ascii="Roboto" w:hAnsi="Roboto"/>
          <w:b/>
          <w:bCs/>
        </w:rPr>
      </w:r>
    </w:p>
    <w:p>
      <w:pPr>
        <w:pStyle w:val="Normal1"/>
        <w:spacing w:before="0" w:after="0"/>
        <w:rPr>
          <w:rFonts w:ascii="Roboto" w:hAnsi="Roboto" w:eastAsia="Roboto" w:cs="Roboto"/>
          <w:b/>
          <w:b/>
          <w:bCs/>
        </w:rPr>
      </w:pPr>
      <w:r>
        <w:rPr>
          <w:rFonts w:eastAsia="Roboto" w:cs="Roboto" w:ascii="Roboto" w:hAnsi="Roboto"/>
          <w:b/>
          <w:bCs/>
        </w:rPr>
      </w:r>
    </w:p>
    <w:p>
      <w:pPr>
        <w:pStyle w:val="Normal1"/>
        <w:spacing w:before="0" w:after="0"/>
        <w:rPr/>
      </w:pPr>
      <w:r>
        <w:rPr>
          <w:rStyle w:val="Fuentedeprrafopredeter"/>
          <w:rFonts w:eastAsia="Roboto" w:cs="Roboto" w:ascii="Roboto" w:hAnsi="Roboto"/>
          <w:b/>
          <w:bCs/>
        </w:rPr>
        <w:t>Consideraciones Económicas del Plan operativo Anual 2026:</w:t>
      </w:r>
    </w:p>
    <w:p>
      <w:pPr>
        <w:pStyle w:val="Normal1"/>
        <w:spacing w:before="0" w:after="0"/>
        <w:rPr>
          <w:rFonts w:ascii="Roboto" w:hAnsi="Roboto" w:eastAsia="Roboto" w:cs="Roboto"/>
        </w:rPr>
      </w:pPr>
      <w:r>
        <w:rPr>
          <w:rFonts w:eastAsia="Roboto" w:cs="Roboto" w:ascii="Roboto" w:hAnsi="Roboto"/>
        </w:rPr>
      </w:r>
    </w:p>
    <w:p>
      <w:pPr>
        <w:pStyle w:val="Normal1"/>
        <w:spacing w:before="0" w:after="0"/>
        <w:rPr/>
      </w:pPr>
      <w:r>
        <w:rPr>
          <w:rStyle w:val="Fuentedeprrafopredeter"/>
          <w:rFonts w:eastAsia="Roboto" w:cs="Roboto" w:ascii="Roboto" w:hAnsi="Roboto"/>
        </w:rPr>
        <w:t xml:space="preserve">El Plan operativo Anual de Subvenciones del IAS, para 2026 asciende a </w:t>
      </w:r>
      <w:r>
        <w:rPr>
          <w:rStyle w:val="Fuentedeprrafopredeter"/>
          <w:rFonts w:eastAsia="Roboto" w:cs="Roboto" w:ascii="Roboto" w:hAnsi="Roboto"/>
          <w:b/>
          <w:bCs/>
        </w:rPr>
        <w:t>809.334,59 €</w:t>
      </w:r>
      <w:r>
        <w:rPr>
          <w:rStyle w:val="Fuentedeprrafopredeter"/>
          <w:rFonts w:eastAsia="Roboto" w:cs="Roboto" w:ascii="Roboto" w:hAnsi="Roboto"/>
        </w:rPr>
        <w:t>, lo que supone el 0,35 % del Presupuesto para el ejercicio.</w:t>
      </w:r>
    </w:p>
    <w:p>
      <w:pPr>
        <w:pStyle w:val="Normal1"/>
        <w:spacing w:before="0" w:after="0"/>
        <w:rPr>
          <w:rFonts w:ascii="Roboto" w:hAnsi="Roboto" w:eastAsia="Roboto" w:cs="Roboto"/>
        </w:rPr>
      </w:pPr>
      <w:r>
        <w:rPr>
          <w:rFonts w:eastAsia="Roboto" w:cs="Roboto" w:ascii="Roboto" w:hAnsi="Roboto"/>
        </w:rPr>
      </w:r>
    </w:p>
    <w:p>
      <w:pPr>
        <w:pStyle w:val="Normal1"/>
        <w:spacing w:before="0" w:after="0"/>
        <w:rPr/>
      </w:pPr>
      <w:r>
        <w:rPr>
          <w:rStyle w:val="Fuentedeprrafopredeter"/>
          <w:rFonts w:eastAsia="Roboto" w:cs="Roboto" w:ascii="Roboto" w:hAnsi="Roboto"/>
        </w:rPr>
        <w:t xml:space="preserve">Este importe para subvenciones pertenece al </w:t>
      </w:r>
      <w:r>
        <w:rPr>
          <w:rStyle w:val="Fuentedeprrafopredeter"/>
          <w:rFonts w:eastAsia="Roboto" w:cs="Roboto" w:ascii="Roboto" w:hAnsi="Roboto"/>
          <w:b/>
          <w:bCs/>
        </w:rPr>
        <w:t>Capítulo 4</w:t>
      </w:r>
      <w:r>
        <w:rPr>
          <w:rStyle w:val="Fuentedeprrafopredeter"/>
          <w:rFonts w:eastAsia="Roboto" w:cs="Roboto" w:ascii="Roboto" w:hAnsi="Roboto"/>
        </w:rPr>
        <w:t xml:space="preserve"> de Transferencias Corrientes </w:t>
      </w:r>
      <w:r>
        <w:rPr>
          <w:rStyle w:val="Fuentedeprrafopredeter"/>
          <w:rFonts w:eastAsia="Roboto" w:cs="Roboto" w:ascii="Roboto" w:hAnsi="Roboto"/>
          <w:b/>
          <w:bCs/>
        </w:rPr>
        <w:t>(809.334,59 €)</w:t>
      </w:r>
      <w:r>
        <w:rPr>
          <w:rStyle w:val="Fuentedeprrafopredeter"/>
          <w:rFonts w:eastAsia="Roboto" w:cs="Roboto" w:ascii="Roboto" w:hAnsi="Roboto"/>
        </w:rPr>
        <w:t>,  distribuyéndose de la siguiente forma:</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Subvenciones nominadas – AYUNTAMIENTOS:</w:t>
      </w:r>
    </w:p>
    <w:p>
      <w:pPr>
        <w:pStyle w:val="Normal1"/>
        <w:spacing w:before="0" w:after="0"/>
        <w:rPr>
          <w:rFonts w:ascii="Roboto" w:hAnsi="Roboto" w:eastAsia="Roboto" w:cs="Roboto"/>
        </w:rPr>
      </w:pPr>
      <w:r>
        <w:rPr>
          <w:rFonts w:eastAsia="Roboto" w:cs="Roboto" w:ascii="Roboto" w:hAnsi="Roboto"/>
        </w:rPr>
      </w:r>
    </w:p>
    <w:tbl>
      <w:tblPr>
        <w:tblW w:w="8125" w:type="dxa"/>
        <w:jc w:val="left"/>
        <w:tblInd w:w="-42" w:type="dxa"/>
        <w:tblLayout w:type="fixed"/>
        <w:tblCellMar>
          <w:top w:w="0" w:type="dxa"/>
          <w:left w:w="65" w:type="dxa"/>
          <w:bottom w:w="0" w:type="dxa"/>
          <w:right w:w="70" w:type="dxa"/>
        </w:tblCellMar>
      </w:tblPr>
      <w:tblGrid>
        <w:gridCol w:w="2613"/>
        <w:gridCol w:w="3750"/>
        <w:gridCol w:w="1762"/>
      </w:tblGrid>
      <w:tr>
        <w:trPr>
          <w:trHeight w:val="588" w:hRule="atLeast"/>
        </w:trPr>
        <w:tc>
          <w:tcPr>
            <w:tcW w:w="2613"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APLICACIÓN PRESUPUESTARIA</w:t>
            </w:r>
          </w:p>
        </w:tc>
        <w:tc>
          <w:tcPr>
            <w:tcW w:w="3750"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AYUNTAMIENTOS</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center"/>
              <w:rPr>
                <w:rFonts w:ascii="Roboto" w:hAnsi="Roboto" w:eastAsia="Roboto" w:cs="Roboto"/>
                <w:b/>
                <w:b/>
                <w:bCs/>
                <w:sz w:val="18"/>
                <w:szCs w:val="18"/>
              </w:rPr>
            </w:pPr>
            <w:r>
              <w:rPr>
                <w:rFonts w:eastAsia="Roboto" w:cs="Roboto" w:ascii="Roboto" w:hAnsi="Roboto"/>
                <w:b/>
                <w:bCs/>
                <w:sz w:val="18"/>
                <w:szCs w:val="18"/>
              </w:rPr>
              <w:t>IMPORTE</w:t>
            </w:r>
          </w:p>
        </w:tc>
      </w:tr>
      <w:tr>
        <w:trPr>
          <w:trHeight w:val="390" w:hRule="atLeast"/>
        </w:trPr>
        <w:tc>
          <w:tcPr>
            <w:tcW w:w="2613"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09710/2310/462000126</w:t>
            </w:r>
          </w:p>
        </w:tc>
        <w:tc>
          <w:tcPr>
            <w:tcW w:w="3750"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Ayto. Artenara. Transp. Centro Ocupacional</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6.500,00</w:t>
            </w:r>
          </w:p>
        </w:tc>
      </w:tr>
      <w:tr>
        <w:trPr>
          <w:trHeight w:val="795" w:hRule="atLeast"/>
        </w:trPr>
        <w:tc>
          <w:tcPr>
            <w:tcW w:w="2613"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09710/2310/462000226</w:t>
            </w:r>
          </w:p>
        </w:tc>
        <w:tc>
          <w:tcPr>
            <w:tcW w:w="3750"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Ayto. De Ingenio Proy. Ingenio Colour Festival – GC Accesible</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14.900,00</w:t>
            </w:r>
          </w:p>
        </w:tc>
      </w:tr>
      <w:tr>
        <w:trPr>
          <w:trHeight w:val="735" w:hRule="atLeast"/>
        </w:trPr>
        <w:tc>
          <w:tcPr>
            <w:tcW w:w="2613"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09710/2310/462000326</w:t>
            </w:r>
          </w:p>
        </w:tc>
        <w:tc>
          <w:tcPr>
            <w:tcW w:w="3750"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Ayto. De Valsequillo Proy. Aula del Mayor</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34.725,70</w:t>
            </w:r>
          </w:p>
        </w:tc>
      </w:tr>
      <w:tr>
        <w:trPr>
          <w:trHeight w:val="669" w:hRule="atLeast"/>
        </w:trPr>
        <w:tc>
          <w:tcPr>
            <w:tcW w:w="2613" w:type="dxa"/>
            <w:tcBorders>
              <w:top w:val="single" w:sz="4" w:space="0" w:color="000000"/>
              <w:left w:val="single" w:sz="4" w:space="0" w:color="000000"/>
              <w:bottom w:val="single" w:sz="4" w:space="0" w:color="000000"/>
            </w:tcBorders>
          </w:tcPr>
          <w:p>
            <w:pPr>
              <w:pStyle w:val="Normal1"/>
              <w:keepNext w:val="true"/>
              <w:numPr>
                <w:ilvl w:val="8"/>
                <w:numId w:val="4"/>
              </w:numPr>
              <w:pBdr/>
              <w:spacing w:before="0" w:after="0"/>
              <w:jc w:val="center"/>
              <w:rPr>
                <w:rFonts w:ascii="Roboto" w:hAnsi="Roboto" w:eastAsia="Roboto" w:cs="Roboto"/>
                <w:b/>
                <w:b/>
                <w:bCs/>
                <w:sz w:val="18"/>
                <w:szCs w:val="18"/>
              </w:rPr>
            </w:pPr>
            <w:r>
              <w:rPr>
                <w:rFonts w:eastAsia="Roboto" w:cs="Roboto" w:ascii="Roboto" w:hAnsi="Roboto"/>
                <w:b/>
                <w:bCs/>
                <w:sz w:val="18"/>
                <w:szCs w:val="18"/>
              </w:rPr>
            </w:r>
          </w:p>
        </w:tc>
        <w:tc>
          <w:tcPr>
            <w:tcW w:w="3750" w:type="dxa"/>
            <w:tcBorders>
              <w:top w:val="single" w:sz="4" w:space="0" w:color="000000"/>
              <w:left w:val="single" w:sz="4" w:space="0" w:color="000000"/>
              <w:bottom w:val="single" w:sz="4" w:space="0" w:color="000000"/>
            </w:tcBorders>
            <w:vAlign w:val="center"/>
          </w:tcPr>
          <w:p>
            <w:pPr>
              <w:pStyle w:val="Normal1"/>
              <w:keepNext w:val="true"/>
              <w:numPr>
                <w:ilvl w:val="8"/>
                <w:numId w:val="4"/>
              </w:numPr>
              <w:pBdr/>
              <w:spacing w:before="0" w:after="0"/>
              <w:jc w:val="center"/>
              <w:rPr>
                <w:rFonts w:ascii="Roboto" w:hAnsi="Roboto" w:eastAsia="Roboto" w:cs="Roboto"/>
                <w:b/>
                <w:b/>
                <w:bCs/>
                <w:sz w:val="18"/>
                <w:szCs w:val="18"/>
              </w:rPr>
            </w:pPr>
            <w:r>
              <w:rPr>
                <w:rFonts w:eastAsia="Roboto" w:cs="Roboto" w:ascii="Roboto" w:hAnsi="Roboto"/>
                <w:b/>
                <w:bCs/>
                <w:sz w:val="18"/>
                <w:szCs w:val="18"/>
              </w:rPr>
              <w:t>TOTAL</w:t>
            </w:r>
          </w:p>
        </w:tc>
        <w:tc>
          <w:tcPr>
            <w:tcW w:w="176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pPr>
            <w:r>
              <w:rPr>
                <w:rStyle w:val="Fuentedeprrafopredeter"/>
                <w:rFonts w:eastAsia="Roboto" w:cs="Roboto" w:ascii="Roboto" w:hAnsi="Roboto"/>
                <w:b/>
                <w:bCs/>
                <w:sz w:val="18"/>
                <w:szCs w:val="18"/>
              </w:rPr>
              <w:t>56.125,70 €</w:t>
            </w:r>
          </w:p>
        </w:tc>
      </w:tr>
    </w:tbl>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Subvenciones nominadas – ENTIDADES PRIVADAS:</w:t>
      </w:r>
    </w:p>
    <w:p>
      <w:pPr>
        <w:pStyle w:val="Normal1"/>
        <w:spacing w:before="0" w:after="0"/>
        <w:rPr>
          <w:rFonts w:ascii="Roboto" w:hAnsi="Roboto" w:eastAsia="Roboto" w:cs="Roboto"/>
        </w:rPr>
      </w:pPr>
      <w:r>
        <w:rPr>
          <w:rFonts w:eastAsia="Roboto" w:cs="Roboto" w:ascii="Roboto" w:hAnsi="Roboto"/>
        </w:rPr>
      </w:r>
    </w:p>
    <w:tbl>
      <w:tblPr>
        <w:tblW w:w="8114" w:type="dxa"/>
        <w:jc w:val="left"/>
        <w:tblInd w:w="-35" w:type="dxa"/>
        <w:tblLayout w:type="fixed"/>
        <w:tblCellMar>
          <w:top w:w="0" w:type="dxa"/>
          <w:left w:w="65" w:type="dxa"/>
          <w:bottom w:w="0" w:type="dxa"/>
          <w:right w:w="70" w:type="dxa"/>
        </w:tblCellMar>
      </w:tblPr>
      <w:tblGrid>
        <w:gridCol w:w="2605"/>
        <w:gridCol w:w="3745"/>
        <w:gridCol w:w="1764"/>
      </w:tblGrid>
      <w:tr>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APLICACIÓN PRESUPUESTARIA</w:t>
            </w:r>
          </w:p>
        </w:tc>
        <w:tc>
          <w:tcPr>
            <w:tcW w:w="374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EMPRESAS PRIVADAS</w:t>
            </w:r>
          </w:p>
        </w:tc>
        <w:tc>
          <w:tcPr>
            <w:tcW w:w="1764"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center"/>
              <w:rPr>
                <w:rFonts w:ascii="Roboto" w:hAnsi="Roboto" w:eastAsia="Roboto" w:cs="Roboto"/>
                <w:b/>
                <w:b/>
                <w:bCs/>
                <w:sz w:val="18"/>
                <w:szCs w:val="18"/>
              </w:rPr>
            </w:pPr>
            <w:r>
              <w:rPr>
                <w:rFonts w:eastAsia="Roboto" w:cs="Roboto" w:ascii="Roboto" w:hAnsi="Roboto"/>
                <w:b/>
                <w:bCs/>
                <w:sz w:val="18"/>
                <w:szCs w:val="18"/>
              </w:rPr>
              <w:t>IMPORTE</w:t>
            </w:r>
          </w:p>
        </w:tc>
      </w:tr>
      <w:tr>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09710/2310/479000026</w:t>
            </w:r>
          </w:p>
        </w:tc>
        <w:tc>
          <w:tcPr>
            <w:tcW w:w="374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 xml:space="preserve">A Gran Canaria Maratón “Carrera 3K-GC Accesible” </w:t>
            </w:r>
          </w:p>
        </w:tc>
        <w:tc>
          <w:tcPr>
            <w:tcW w:w="1764"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20.000,00</w:t>
            </w:r>
          </w:p>
        </w:tc>
      </w:tr>
      <w:tr>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09710/2310/479000126</w:t>
            </w:r>
          </w:p>
        </w:tc>
        <w:tc>
          <w:tcPr>
            <w:tcW w:w="374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 xml:space="preserve">A Asociación Empresas Turismo Activo Gran Canaria – GC Accesible </w:t>
            </w:r>
          </w:p>
        </w:tc>
        <w:tc>
          <w:tcPr>
            <w:tcW w:w="1764"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5.000,00</w:t>
            </w:r>
          </w:p>
        </w:tc>
      </w:tr>
      <w:tr>
        <w:trPr>
          <w:trHeight w:val="963" w:hRule="atLeast"/>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09710/2310/479000226</w:t>
            </w:r>
          </w:p>
        </w:tc>
        <w:tc>
          <w:tcPr>
            <w:tcW w:w="374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 xml:space="preserve">A Colegio Enfermería Las Palmas – GC Accesible </w:t>
            </w:r>
          </w:p>
        </w:tc>
        <w:tc>
          <w:tcPr>
            <w:tcW w:w="1764"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167.694,00</w:t>
            </w:r>
          </w:p>
        </w:tc>
      </w:tr>
      <w:tr>
        <w:trPr>
          <w:trHeight w:val="669" w:hRule="atLeast"/>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r>
          </w:p>
        </w:tc>
        <w:tc>
          <w:tcPr>
            <w:tcW w:w="3745" w:type="dxa"/>
            <w:tcBorders>
              <w:top w:val="single" w:sz="4" w:space="0" w:color="000000"/>
              <w:left w:val="single" w:sz="4" w:space="0" w:color="000000"/>
              <w:bottom w:val="single" w:sz="4" w:space="0" w:color="000000"/>
            </w:tcBorders>
            <w:vAlign w:val="center"/>
          </w:tcPr>
          <w:p>
            <w:pPr>
              <w:pStyle w:val="Normal1"/>
              <w:keepNext w:val="true"/>
              <w:numPr>
                <w:ilvl w:val="8"/>
                <w:numId w:val="4"/>
              </w:numPr>
              <w:pBdr/>
              <w:spacing w:before="0" w:after="0"/>
              <w:jc w:val="center"/>
              <w:rPr>
                <w:rFonts w:ascii="Roboto" w:hAnsi="Roboto" w:eastAsia="Roboto" w:cs="Roboto"/>
                <w:b/>
                <w:b/>
                <w:bCs/>
                <w:sz w:val="18"/>
                <w:szCs w:val="18"/>
              </w:rPr>
            </w:pPr>
            <w:r>
              <w:rPr>
                <w:rFonts w:eastAsia="Roboto" w:cs="Roboto" w:ascii="Roboto" w:hAnsi="Roboto"/>
                <w:b/>
                <w:bCs/>
                <w:sz w:val="18"/>
                <w:szCs w:val="18"/>
              </w:rPr>
              <w:t>TOTAL</w:t>
            </w:r>
          </w:p>
        </w:tc>
        <w:tc>
          <w:tcPr>
            <w:tcW w:w="1764"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right"/>
              <w:rPr/>
            </w:pPr>
            <w:r>
              <w:rPr>
                <w:rStyle w:val="Fuentedeprrafopredeter"/>
                <w:rFonts w:eastAsia="Roboto" w:cs="Roboto" w:ascii="Roboto" w:hAnsi="Roboto"/>
                <w:b/>
                <w:bCs/>
                <w:sz w:val="18"/>
                <w:szCs w:val="18"/>
              </w:rPr>
              <w:t>192.694,00 €</w:t>
            </w:r>
          </w:p>
        </w:tc>
      </w:tr>
    </w:tbl>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Subvenciones nominadas – ENTIDADES SIN FINES DE LUCRO:</w:t>
      </w:r>
    </w:p>
    <w:p>
      <w:pPr>
        <w:pStyle w:val="Normal1"/>
        <w:spacing w:before="0" w:after="0"/>
        <w:rPr>
          <w:rFonts w:ascii="Roboto" w:hAnsi="Roboto" w:eastAsia="Roboto" w:cs="Roboto"/>
        </w:rPr>
      </w:pPr>
      <w:r>
        <w:rPr>
          <w:rFonts w:eastAsia="Roboto" w:cs="Roboto" w:ascii="Roboto" w:hAnsi="Roboto"/>
        </w:rPr>
      </w:r>
    </w:p>
    <w:tbl>
      <w:tblPr>
        <w:tblW w:w="8114" w:type="dxa"/>
        <w:jc w:val="left"/>
        <w:tblInd w:w="-35" w:type="dxa"/>
        <w:tblLayout w:type="fixed"/>
        <w:tblCellMar>
          <w:top w:w="55" w:type="dxa"/>
          <w:left w:w="65" w:type="dxa"/>
          <w:bottom w:w="55" w:type="dxa"/>
          <w:right w:w="70" w:type="dxa"/>
        </w:tblCellMar>
      </w:tblPr>
      <w:tblGrid>
        <w:gridCol w:w="2605"/>
        <w:gridCol w:w="3750"/>
        <w:gridCol w:w="1759"/>
      </w:tblGrid>
      <w:tr>
        <w:trPr/>
        <w:tc>
          <w:tcPr>
            <w:tcW w:w="2605"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APLICACIÓN PRESUPUESTARIA</w:t>
            </w:r>
          </w:p>
        </w:tc>
        <w:tc>
          <w:tcPr>
            <w:tcW w:w="3750" w:type="dxa"/>
            <w:tcBorders>
              <w:top w:val="single" w:sz="4" w:space="0" w:color="000000"/>
              <w:left w:val="single" w:sz="4" w:space="0" w:color="000000"/>
              <w:bottom w:val="single" w:sz="4" w:space="0" w:color="000000"/>
            </w:tcBorders>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ENTIDADES SIN FINES DE LUCRO</w:t>
            </w:r>
          </w:p>
        </w:tc>
        <w:tc>
          <w:tcPr>
            <w:tcW w:w="1759"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center"/>
              <w:rPr>
                <w:rFonts w:ascii="Roboto" w:hAnsi="Roboto" w:eastAsia="Roboto" w:cs="Roboto"/>
                <w:b/>
                <w:b/>
                <w:bCs/>
                <w:sz w:val="18"/>
                <w:szCs w:val="18"/>
              </w:rPr>
            </w:pPr>
            <w:r>
              <w:rPr>
                <w:rFonts w:eastAsia="Roboto" w:cs="Roboto" w:ascii="Roboto" w:hAnsi="Roboto"/>
                <w:b/>
                <w:bCs/>
                <w:sz w:val="18"/>
                <w:szCs w:val="18"/>
              </w:rPr>
              <w:t>IMPORTE</w:t>
            </w:r>
          </w:p>
        </w:tc>
      </w:tr>
      <w:tr>
        <w:trPr/>
        <w:tc>
          <w:tcPr>
            <w:tcW w:w="2605"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09710/2310/480000126</w:t>
            </w:r>
          </w:p>
        </w:tc>
        <w:tc>
          <w:tcPr>
            <w:tcW w:w="3750"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 xml:space="preserve">A Asoc. Minusv. Econy Club Deportivo-GC Accesible </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15.000,00</w:t>
            </w:r>
          </w:p>
        </w:tc>
      </w:tr>
      <w:tr>
        <w:trPr/>
        <w:tc>
          <w:tcPr>
            <w:tcW w:w="2605"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09710/2310/480000226</w:t>
            </w:r>
          </w:p>
        </w:tc>
        <w:tc>
          <w:tcPr>
            <w:tcW w:w="3750"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Hermanitas Ancianos Desamp. Mto. Residencia</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159.247,56</w:t>
            </w:r>
          </w:p>
        </w:tc>
      </w:tr>
      <w:tr>
        <w:trPr>
          <w:trHeight w:val="832" w:hRule="atLeast"/>
        </w:trPr>
        <w:tc>
          <w:tcPr>
            <w:tcW w:w="2605"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09710/2310/480000326</w:t>
            </w:r>
          </w:p>
        </w:tc>
        <w:tc>
          <w:tcPr>
            <w:tcW w:w="3750"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Asoc. De Personas con Sordoceguera (ASOCIDE)-GC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15.000,00</w:t>
            </w:r>
          </w:p>
        </w:tc>
      </w:tr>
      <w:tr>
        <w:trPr/>
        <w:tc>
          <w:tcPr>
            <w:tcW w:w="2605"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09710/2310/480000426</w:t>
            </w:r>
          </w:p>
        </w:tc>
        <w:tc>
          <w:tcPr>
            <w:tcW w:w="3750"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Hermanitas Ancianos Desamparados. Personal</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80.140,00</w:t>
            </w:r>
          </w:p>
        </w:tc>
      </w:tr>
      <w:tr>
        <w:trPr>
          <w:trHeight w:val="975"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09710/2310/480000526</w:t>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Fundación Lidia García-GC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8.000,00</w:t>
            </w:r>
          </w:p>
        </w:tc>
      </w:tr>
      <w:tr>
        <w:trPr>
          <w:trHeight w:val="703"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09710/2310/480000626</w:t>
            </w:r>
          </w:p>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Fundación de Personas con Sordera FUNCASOR-GC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15.000,00</w:t>
            </w:r>
          </w:p>
        </w:tc>
      </w:tr>
      <w:tr>
        <w:trPr>
          <w:trHeight w:val="703"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09710/2310/480000726</w:t>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Plena Inclusión Canaria - 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24.127,33</w:t>
            </w:r>
          </w:p>
        </w:tc>
      </w:tr>
      <w:tr>
        <w:trPr>
          <w:trHeight w:val="703"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09710/2310/480000826</w:t>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Fundación Canaria Apoyos, ADEPSI - 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36.000,00</w:t>
            </w:r>
          </w:p>
        </w:tc>
      </w:tr>
      <w:tr>
        <w:trPr>
          <w:trHeight w:val="703"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r>
          </w:p>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09710/2310/480000926</w:t>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tabs>
                <w:tab w:val="clear" w:pos="720"/>
                <w:tab w:val="center" w:pos="4252" w:leader="none"/>
                <w:tab w:val="right" w:pos="8504" w:leader="none"/>
              </w:tabs>
              <w:spacing w:before="0" w:after="0"/>
              <w:jc w:val="center"/>
              <w:rPr>
                <w:rFonts w:ascii="Roboto" w:hAnsi="Roboto" w:eastAsia="Roboto" w:cs="Roboto"/>
                <w:sz w:val="18"/>
                <w:szCs w:val="18"/>
              </w:rPr>
            </w:pPr>
            <w:r>
              <w:rPr>
                <w:rFonts w:eastAsia="Roboto" w:cs="Roboto" w:ascii="Roboto" w:hAnsi="Roboto"/>
                <w:sz w:val="18"/>
                <w:szCs w:val="18"/>
              </w:rPr>
              <w:t>A Asoc. Convocatoria Subvenciones - GC Accesible</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rFonts w:ascii="Roboto" w:hAnsi="Roboto" w:eastAsia="Roboto" w:cs="Roboto"/>
                <w:sz w:val="18"/>
                <w:szCs w:val="18"/>
              </w:rPr>
            </w:pPr>
            <w:r>
              <w:rPr>
                <w:rFonts w:eastAsia="Roboto" w:cs="Roboto" w:ascii="Roboto" w:hAnsi="Roboto"/>
                <w:sz w:val="18"/>
                <w:szCs w:val="18"/>
              </w:rPr>
              <w:t>208.000,00</w:t>
            </w:r>
          </w:p>
        </w:tc>
      </w:tr>
      <w:tr>
        <w:trPr>
          <w:trHeight w:val="703" w:hRule="atLeast"/>
        </w:trPr>
        <w:tc>
          <w:tcPr>
            <w:tcW w:w="2605" w:type="dxa"/>
            <w:tcBorders>
              <w:top w:val="single" w:sz="4" w:space="0" w:color="000000"/>
              <w:left w:val="single" w:sz="4" w:space="0" w:color="000000"/>
              <w:bottom w:val="single" w:sz="4" w:space="0" w:color="000000"/>
            </w:tcBorders>
            <w:tcMar>
              <w:top w:w="0" w:type="dxa"/>
              <w:bottom w:w="0" w:type="dxa"/>
            </w:tcMa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r>
          </w:p>
        </w:tc>
        <w:tc>
          <w:tcPr>
            <w:tcW w:w="3750" w:type="dxa"/>
            <w:tcBorders>
              <w:top w:val="single" w:sz="4" w:space="0" w:color="000000"/>
              <w:left w:val="single" w:sz="4" w:space="0" w:color="000000"/>
              <w:bottom w:val="single" w:sz="4" w:space="0" w:color="000000"/>
            </w:tcBorders>
            <w:tcMar>
              <w:top w:w="0" w:type="dxa"/>
              <w:bottom w:w="0" w:type="dxa"/>
            </w:tcMar>
            <w:vAlign w:val="center"/>
          </w:tcPr>
          <w:p>
            <w:pPr>
              <w:pStyle w:val="Normal1"/>
              <w:pBdr/>
              <w:tabs>
                <w:tab w:val="clear" w:pos="720"/>
                <w:tab w:val="center" w:pos="4252" w:leader="none"/>
                <w:tab w:val="right" w:pos="8504" w:leader="none"/>
              </w:tabs>
              <w:spacing w:before="0" w:after="0"/>
              <w:jc w:val="center"/>
              <w:rPr>
                <w:rFonts w:ascii="Roboto" w:hAnsi="Roboto" w:eastAsia="Roboto" w:cs="Roboto"/>
                <w:b/>
                <w:b/>
                <w:bCs/>
                <w:sz w:val="18"/>
                <w:szCs w:val="18"/>
              </w:rPr>
            </w:pPr>
            <w:r>
              <w:rPr>
                <w:rFonts w:eastAsia="Roboto" w:cs="Roboto" w:ascii="Roboto" w:hAnsi="Roboto"/>
                <w:b/>
                <w:bCs/>
                <w:sz w:val="18"/>
                <w:szCs w:val="18"/>
              </w:rPr>
              <w:t>TOTAL</w:t>
            </w:r>
          </w:p>
        </w:tc>
        <w:tc>
          <w:tcPr>
            <w:tcW w:w="1759"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pPr>
              <w:pStyle w:val="Normal1"/>
              <w:spacing w:before="0" w:after="0"/>
              <w:jc w:val="right"/>
              <w:rPr/>
            </w:pPr>
            <w:r>
              <w:rPr>
                <w:rStyle w:val="Fuentedeprrafopredeter"/>
                <w:rFonts w:eastAsia="Roboto" w:cs="Roboto" w:ascii="Roboto" w:hAnsi="Roboto"/>
                <w:b/>
                <w:bCs/>
                <w:sz w:val="18"/>
                <w:szCs w:val="18"/>
              </w:rPr>
              <w:t>560.514,89 €</w:t>
            </w:r>
          </w:p>
        </w:tc>
      </w:tr>
    </w:tbl>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r>
      <w:r>
        <w:br w:type="page"/>
      </w:r>
    </w:p>
    <w:p>
      <w:pPr>
        <w:pStyle w:val="Normal1"/>
        <w:spacing w:before="0" w:after="0"/>
        <w:rPr/>
      </w:pPr>
      <w:r>
        <w:rPr/>
      </w:r>
    </w:p>
    <w:p>
      <w:pPr>
        <w:pStyle w:val="Normal1"/>
        <w:keepNext w:val="true"/>
        <w:numPr>
          <w:ilvl w:val="6"/>
          <w:numId w:val="4"/>
        </w:numPr>
        <w:pBdr/>
        <w:spacing w:before="0" w:after="0"/>
        <w:rPr/>
      </w:pPr>
      <w:r>
        <w:rPr>
          <w:rStyle w:val="Fuentedeprrafopredeter"/>
          <w:rFonts w:eastAsia="Roboto" w:cs="Roboto" w:ascii="Roboto" w:hAnsi="Roboto"/>
          <w:b/>
          <w:bCs/>
        </w:rPr>
        <w:t>Líneas de actuación del Plan Operativo Anual 2026</w:t>
      </w:r>
    </w:p>
    <w:p>
      <w:pPr>
        <w:pStyle w:val="Normal1"/>
        <w:spacing w:before="0" w:after="0"/>
        <w:rPr>
          <w:rFonts w:ascii="Roboto" w:hAnsi="Roboto" w:eastAsia="Roboto" w:cs="Roboto"/>
        </w:rPr>
      </w:pPr>
      <w:r>
        <w:rPr>
          <w:rFonts w:eastAsia="Roboto" w:cs="Roboto" w:ascii="Roboto" w:hAnsi="Roboto"/>
        </w:rPr>
      </w:r>
    </w:p>
    <w:p>
      <w:pPr>
        <w:pStyle w:val="Normal1"/>
        <w:keepNext w:val="true"/>
        <w:numPr>
          <w:ilvl w:val="7"/>
          <w:numId w:val="4"/>
        </w:numPr>
        <w:pBdr/>
        <w:spacing w:before="0" w:after="0"/>
        <w:jc w:val="left"/>
        <w:rPr>
          <w:rFonts w:ascii="Roboto" w:hAnsi="Roboto" w:eastAsia="Roboto" w:cs="Roboto"/>
          <w:b/>
          <w:b/>
          <w:bCs/>
        </w:rPr>
      </w:pPr>
      <w:r>
        <w:rPr>
          <w:rFonts w:eastAsia="Roboto" w:cs="Roboto" w:ascii="Roboto" w:hAnsi="Roboto"/>
          <w:b/>
          <w:bCs/>
        </w:rPr>
        <w:t>Actuaciones</w:t>
      </w:r>
    </w:p>
    <w:p>
      <w:pPr>
        <w:pStyle w:val="Normal1"/>
        <w:spacing w:before="0" w:after="0"/>
        <w:jc w:val="left"/>
        <w:rPr>
          <w:rFonts w:ascii="Roboto" w:hAnsi="Roboto" w:eastAsia="Roboto" w:cs="Roboto"/>
        </w:rPr>
      </w:pPr>
      <w:r>
        <w:rPr>
          <w:rFonts w:eastAsia="Roboto" w:cs="Roboto" w:ascii="Roboto" w:hAnsi="Roboto"/>
        </w:rPr>
      </w:r>
    </w:p>
    <w:p>
      <w:pPr>
        <w:pStyle w:val="Normal1"/>
        <w:numPr>
          <w:ilvl w:val="1"/>
          <w:numId w:val="5"/>
        </w:numPr>
        <w:spacing w:before="0" w:after="0"/>
        <w:rPr/>
      </w:pPr>
      <w:r>
        <w:rPr>
          <w:rStyle w:val="Fuentedeprrafopredeter"/>
          <w:rFonts w:eastAsia="Roboto" w:cs="Roboto" w:ascii="Roboto" w:hAnsi="Roboto"/>
          <w:u w:val="single"/>
        </w:rPr>
        <w:t>Subvenciones nominadas a Ayuntamientos, Entidades privadas y Asociaciones o Entidades sin ánimo de lucro de la isla de Gran Canaria:</w:t>
      </w:r>
    </w:p>
    <w:p>
      <w:pPr>
        <w:pStyle w:val="Normal1"/>
        <w:spacing w:before="0" w:after="0"/>
        <w:rPr>
          <w:rFonts w:ascii="Roboto" w:hAnsi="Roboto" w:eastAsia="Roboto" w:cs="Roboto"/>
          <w:u w:val="single"/>
        </w:rPr>
      </w:pPr>
      <w:r>
        <w:rPr>
          <w:rFonts w:eastAsia="Roboto" w:cs="Roboto" w:ascii="Roboto" w:hAnsi="Roboto"/>
          <w:u w:val="single"/>
        </w:rPr>
      </w:r>
    </w:p>
    <w:p>
      <w:pPr>
        <w:pStyle w:val="Normal1"/>
        <w:numPr>
          <w:ilvl w:val="0"/>
          <w:numId w:val="6"/>
        </w:numPr>
        <w:spacing w:before="0" w:after="0"/>
        <w:rPr/>
      </w:pPr>
      <w:r>
        <w:rPr>
          <w:rStyle w:val="Fuentedeprrafopredeter"/>
          <w:rFonts w:eastAsia="Roboto" w:cs="Roboto" w:ascii="Roboto" w:hAnsi="Roboto"/>
        </w:rPr>
        <w:t xml:space="preserve">Beneficiarios: Ayuntamientos, empresas privadas y Asociaciones o Entidades sin ánimo de lucro, que presten servicios a personas mayores o discapacitadas dentro del ámbito de aplicación del Convenio de Colaboración entre la CC.AA y el Cabildo de Gran Canaria para la prestación de servicios a personas dependientes. </w:t>
      </w:r>
    </w:p>
    <w:p>
      <w:pPr>
        <w:pStyle w:val="Normal1"/>
        <w:numPr>
          <w:ilvl w:val="0"/>
          <w:numId w:val="6"/>
        </w:numPr>
        <w:spacing w:before="0" w:after="0"/>
        <w:rPr/>
      </w:pPr>
      <w:r>
        <w:rPr>
          <w:rStyle w:val="Fuentedeprrafopredeter"/>
          <w:rFonts w:eastAsia="Roboto" w:cs="Roboto" w:ascii="Roboto" w:hAnsi="Roboto"/>
        </w:rPr>
        <w:t>Objetivo: Prestación de Servicios en el ámbito de la promoción de la autonomía personal y atención a personas en situación de dependencia en Gran Canaria.</w:t>
      </w:r>
    </w:p>
    <w:p>
      <w:pPr>
        <w:pStyle w:val="Normal1"/>
        <w:numPr>
          <w:ilvl w:val="0"/>
          <w:numId w:val="6"/>
        </w:numPr>
        <w:spacing w:before="0" w:after="0"/>
        <w:rPr/>
      </w:pPr>
      <w:r>
        <w:rPr>
          <w:rStyle w:val="Fuentedeprrafopredeter"/>
          <w:rFonts w:eastAsia="Roboto" w:cs="Roboto" w:ascii="Roboto" w:hAnsi="Roboto"/>
        </w:rPr>
        <w:t>Plazo: durante el año 2026.</w:t>
      </w:r>
    </w:p>
    <w:p>
      <w:pPr>
        <w:pStyle w:val="Normal1"/>
        <w:numPr>
          <w:ilvl w:val="0"/>
          <w:numId w:val="6"/>
        </w:numPr>
        <w:spacing w:before="0" w:after="0"/>
        <w:rPr/>
      </w:pPr>
      <w:r>
        <w:rPr>
          <w:rStyle w:val="Fuentedeprrafopredeter"/>
          <w:rFonts w:eastAsia="Roboto" w:cs="Roboto" w:ascii="Roboto" w:hAnsi="Roboto"/>
        </w:rPr>
        <w:t>Coste previsible:</w:t>
      </w:r>
      <w:r>
        <w:rPr>
          <w:rStyle w:val="Fuentedeprrafopredeter"/>
          <w:rFonts w:eastAsia="Roboto" w:cs="Roboto" w:ascii="Roboto" w:hAnsi="Roboto"/>
          <w:b/>
          <w:bCs/>
        </w:rPr>
        <w:t xml:space="preserve"> 601.334,59 €.</w:t>
      </w:r>
    </w:p>
    <w:p>
      <w:pPr>
        <w:pStyle w:val="Normal1"/>
        <w:numPr>
          <w:ilvl w:val="0"/>
          <w:numId w:val="6"/>
        </w:numPr>
        <w:spacing w:before="0" w:after="0"/>
        <w:rPr/>
      </w:pPr>
      <w:r>
        <w:rPr>
          <w:rStyle w:val="Fuentedeprrafopredeter"/>
          <w:rFonts w:eastAsia="Roboto" w:cs="Roboto" w:ascii="Roboto" w:hAnsi="Roboto"/>
        </w:rPr>
        <w:t>Financiación: Aportación propia del Instituto AS.</w:t>
      </w:r>
    </w:p>
    <w:p>
      <w:pPr>
        <w:pStyle w:val="Normal1"/>
        <w:numPr>
          <w:ilvl w:val="0"/>
          <w:numId w:val="6"/>
        </w:numPr>
        <w:spacing w:before="0" w:after="0"/>
        <w:rPr/>
      </w:pPr>
      <w:r>
        <w:rPr>
          <w:rStyle w:val="Fuentedeprrafopredeter"/>
          <w:rFonts w:eastAsia="Roboto" w:cs="Roboto" w:ascii="Roboto" w:hAnsi="Roboto"/>
        </w:rPr>
        <w:t>Aplicaciones presupuestarias:</w:t>
      </w:r>
    </w:p>
    <w:p>
      <w:pPr>
        <w:pStyle w:val="Normal1"/>
        <w:spacing w:before="0" w:after="0"/>
        <w:rPr>
          <w:rFonts w:ascii="Roboto" w:hAnsi="Roboto" w:eastAsia="Roboto" w:cs="Roboto"/>
        </w:rPr>
      </w:pPr>
      <w:r>
        <w:rPr>
          <w:rFonts w:eastAsia="Roboto" w:cs="Roboto" w:ascii="Roboto" w:hAnsi="Roboto"/>
        </w:rPr>
        <w:tab/>
        <w:t>09710/2310/462000126  A Ayto. Artenara. Transp. Centro Ocupacional</w:t>
      </w:r>
    </w:p>
    <w:p>
      <w:pPr>
        <w:pStyle w:val="Normal1"/>
        <w:spacing w:before="0" w:after="0"/>
        <w:rPr>
          <w:rFonts w:ascii="Roboto" w:hAnsi="Roboto" w:eastAsia="Roboto" w:cs="Roboto"/>
        </w:rPr>
      </w:pPr>
      <w:r>
        <w:rPr>
          <w:rFonts w:eastAsia="Roboto" w:cs="Roboto" w:ascii="Roboto" w:hAnsi="Roboto"/>
        </w:rPr>
        <w:tab/>
        <w:t>09710/2310/462000226  A Ayto. Ingenio Proy. Colour Fest.– GC Acces.</w:t>
      </w:r>
    </w:p>
    <w:p>
      <w:pPr>
        <w:pStyle w:val="Normal1"/>
        <w:spacing w:before="0" w:after="0"/>
        <w:rPr>
          <w:rFonts w:ascii="Roboto" w:hAnsi="Roboto" w:eastAsia="Roboto" w:cs="Roboto"/>
        </w:rPr>
      </w:pPr>
      <w:r>
        <w:rPr>
          <w:rFonts w:eastAsia="Roboto" w:cs="Roboto" w:ascii="Roboto" w:hAnsi="Roboto"/>
        </w:rPr>
        <w:tab/>
        <w:t>09710/2310/462000326  A Ayto. Valsequillo Proyecto Aula del Mayor</w:t>
      </w:r>
    </w:p>
    <w:p>
      <w:pPr>
        <w:pStyle w:val="Normal1"/>
        <w:spacing w:before="0" w:after="0"/>
        <w:rPr>
          <w:rFonts w:ascii="Roboto" w:hAnsi="Roboto" w:eastAsia="Roboto" w:cs="Roboto"/>
        </w:rPr>
      </w:pPr>
      <w:r>
        <w:rPr>
          <w:rFonts w:eastAsia="Roboto" w:cs="Roboto" w:ascii="Roboto" w:hAnsi="Roboto"/>
        </w:rPr>
        <w:tab/>
        <w:t>09710/2310/479000026  A G.C. Maratón Carrera 3K-GC Accesible</w:t>
      </w:r>
    </w:p>
    <w:p>
      <w:pPr>
        <w:pStyle w:val="Normal1"/>
        <w:spacing w:before="0" w:after="0"/>
        <w:rPr>
          <w:rFonts w:ascii="Roboto" w:hAnsi="Roboto" w:eastAsia="Roboto" w:cs="Roboto"/>
        </w:rPr>
      </w:pPr>
      <w:r>
        <w:rPr>
          <w:rFonts w:eastAsia="Roboto" w:cs="Roboto" w:ascii="Roboto" w:hAnsi="Roboto"/>
        </w:rPr>
        <w:tab/>
        <w:t xml:space="preserve">09710/2310/479000126  A Asoc. Empr. Turismo Activo GC Accesible </w:t>
      </w:r>
    </w:p>
    <w:p>
      <w:pPr>
        <w:pStyle w:val="Normal1"/>
        <w:spacing w:before="0" w:after="0"/>
        <w:rPr>
          <w:rFonts w:ascii="Roboto" w:hAnsi="Roboto" w:eastAsia="Roboto" w:cs="Roboto"/>
        </w:rPr>
      </w:pPr>
      <w:r>
        <w:rPr>
          <w:rFonts w:eastAsia="Roboto" w:cs="Roboto" w:ascii="Roboto" w:hAnsi="Roboto"/>
        </w:rPr>
        <w:tab/>
        <w:t>09710/2310/479000226  A Colegio Enfermería Las Palmas – GC Acc.</w:t>
      </w:r>
    </w:p>
    <w:p>
      <w:pPr>
        <w:pStyle w:val="Normal1"/>
        <w:spacing w:before="0" w:after="0"/>
        <w:rPr>
          <w:rFonts w:ascii="Roboto" w:hAnsi="Roboto" w:eastAsia="Roboto" w:cs="Roboto"/>
        </w:rPr>
      </w:pPr>
      <w:r>
        <w:rPr>
          <w:rFonts w:eastAsia="Roboto" w:cs="Roboto" w:ascii="Roboto" w:hAnsi="Roboto"/>
        </w:rPr>
        <w:tab/>
        <w:t>09710/2310/480000126  A Asoc. Minusv. Econy Club Deport. - GC Acc.</w:t>
      </w:r>
    </w:p>
    <w:p>
      <w:pPr>
        <w:pStyle w:val="Normal1"/>
        <w:spacing w:before="0" w:after="0"/>
        <w:rPr>
          <w:rFonts w:ascii="Roboto" w:hAnsi="Roboto" w:eastAsia="Roboto" w:cs="Roboto"/>
        </w:rPr>
      </w:pPr>
      <w:r>
        <w:rPr>
          <w:rFonts w:eastAsia="Roboto" w:cs="Roboto" w:ascii="Roboto" w:hAnsi="Roboto"/>
        </w:rPr>
        <w:tab/>
        <w:t>09710/2310/480000226  A Hermanitas Ancianos Desamp. Mto. Res.</w:t>
      </w:r>
    </w:p>
    <w:p>
      <w:pPr>
        <w:pStyle w:val="Normal1"/>
        <w:spacing w:before="0" w:after="0"/>
        <w:rPr>
          <w:rFonts w:ascii="Roboto" w:hAnsi="Roboto" w:eastAsia="Roboto" w:cs="Roboto"/>
        </w:rPr>
      </w:pPr>
      <w:r>
        <w:rPr>
          <w:rFonts w:eastAsia="Roboto" w:cs="Roboto" w:ascii="Roboto" w:hAnsi="Roboto"/>
        </w:rPr>
        <w:tab/>
        <w:t>09710/2310/480000326  A Asoc. Pers. Sordoceg. (ASOCIDE)-GC Acc.</w:t>
      </w:r>
    </w:p>
    <w:p>
      <w:pPr>
        <w:pStyle w:val="Normal1"/>
        <w:spacing w:before="0" w:after="0"/>
        <w:rPr>
          <w:rFonts w:ascii="Roboto" w:hAnsi="Roboto" w:eastAsia="Roboto" w:cs="Roboto"/>
        </w:rPr>
      </w:pPr>
      <w:r>
        <w:rPr>
          <w:rFonts w:eastAsia="Roboto" w:cs="Roboto" w:ascii="Roboto" w:hAnsi="Roboto"/>
        </w:rPr>
        <w:tab/>
        <w:t>09710/2310/480000426  A Hermanitas Ancianos Desamp. Personal</w:t>
      </w:r>
    </w:p>
    <w:p>
      <w:pPr>
        <w:pStyle w:val="Normal1"/>
        <w:spacing w:before="0" w:after="0"/>
        <w:rPr>
          <w:rFonts w:ascii="Roboto" w:hAnsi="Roboto" w:eastAsia="Roboto" w:cs="Roboto"/>
        </w:rPr>
      </w:pPr>
      <w:r>
        <w:rPr>
          <w:rFonts w:eastAsia="Roboto" w:cs="Roboto" w:ascii="Roboto" w:hAnsi="Roboto"/>
        </w:rPr>
        <w:tab/>
        <w:t>09710/2310/480000526  A Fundación Lidia García-GC Accesible</w:t>
      </w:r>
    </w:p>
    <w:p>
      <w:pPr>
        <w:pStyle w:val="Normal1"/>
        <w:spacing w:before="0" w:after="0"/>
        <w:rPr>
          <w:rFonts w:ascii="Roboto" w:hAnsi="Roboto" w:eastAsia="Roboto" w:cs="Roboto"/>
        </w:rPr>
      </w:pPr>
      <w:r>
        <w:rPr>
          <w:rFonts w:eastAsia="Roboto" w:cs="Roboto" w:ascii="Roboto" w:hAnsi="Roboto"/>
        </w:rPr>
        <w:tab/>
        <w:t>09710/2310/480000626  A Fund. Personas con Sordera FUNCASOR-GC Acc.</w:t>
      </w:r>
    </w:p>
    <w:p>
      <w:pPr>
        <w:pStyle w:val="Normal1"/>
        <w:tabs>
          <w:tab w:val="clear" w:pos="720"/>
          <w:tab w:val="center" w:pos="4252" w:leader="none"/>
          <w:tab w:val="right" w:pos="8504" w:leader="none"/>
        </w:tabs>
        <w:spacing w:before="0" w:after="0"/>
        <w:ind w:left="708" w:right="0" w:hanging="0"/>
        <w:jc w:val="left"/>
        <w:rPr>
          <w:rFonts w:ascii="Roboto" w:hAnsi="Roboto" w:eastAsia="Roboto" w:cs="Roboto"/>
        </w:rPr>
      </w:pPr>
      <w:r>
        <w:rPr>
          <w:rFonts w:eastAsia="Roboto" w:cs="Roboto" w:ascii="Roboto" w:hAnsi="Roboto"/>
        </w:rPr>
        <w:t>09710/2310/480000726  A Plena Inclusión Canaria - GC Accesible</w:t>
      </w:r>
    </w:p>
    <w:p>
      <w:pPr>
        <w:pStyle w:val="Normal1"/>
        <w:tabs>
          <w:tab w:val="clear" w:pos="720"/>
          <w:tab w:val="center" w:pos="4252" w:leader="none"/>
          <w:tab w:val="right" w:pos="8504" w:leader="none"/>
        </w:tabs>
        <w:spacing w:before="0" w:after="0"/>
        <w:ind w:left="708" w:right="0" w:hanging="0"/>
        <w:jc w:val="left"/>
        <w:rPr>
          <w:rFonts w:ascii="Roboto" w:hAnsi="Roboto" w:eastAsia="Roboto" w:cs="Roboto"/>
        </w:rPr>
      </w:pPr>
      <w:r>
        <w:rPr>
          <w:rFonts w:eastAsia="Roboto" w:cs="Roboto" w:ascii="Roboto" w:hAnsi="Roboto"/>
        </w:rPr>
        <w:t>09710/2310/480000826  A Fundación Canaria Apoyos, ADEPSI - GC Accesible</w:t>
      </w:r>
    </w:p>
    <w:p>
      <w:pPr>
        <w:pStyle w:val="Normal1"/>
        <w:spacing w:before="0" w:after="0"/>
        <w:rPr>
          <w:rFonts w:ascii="Roboto" w:hAnsi="Roboto" w:eastAsia="Roboto" w:cs="Roboto"/>
        </w:rPr>
      </w:pPr>
      <w:r>
        <w:rPr>
          <w:rFonts w:eastAsia="Roboto" w:cs="Roboto" w:ascii="Roboto" w:hAnsi="Roboto"/>
        </w:rPr>
      </w:r>
    </w:p>
    <w:p>
      <w:pPr>
        <w:pStyle w:val="Normal1"/>
        <w:numPr>
          <w:ilvl w:val="1"/>
          <w:numId w:val="11"/>
        </w:numPr>
        <w:spacing w:before="0" w:after="0"/>
        <w:rPr/>
      </w:pPr>
      <w:r>
        <w:rPr>
          <w:rStyle w:val="Fuentedeprrafopredeter"/>
          <w:rFonts w:eastAsia="Roboto" w:cs="Roboto" w:ascii="Roboto" w:hAnsi="Roboto"/>
          <w:u w:val="single"/>
        </w:rPr>
        <w:t>Convocatoria pública de Subvenciones a Asociaciones sin ánimo de lucro – Gran Canaria Accesible</w:t>
      </w:r>
    </w:p>
    <w:p>
      <w:pPr>
        <w:pStyle w:val="Normal1"/>
        <w:spacing w:before="0" w:after="0"/>
        <w:rPr>
          <w:rFonts w:ascii="Roboto" w:hAnsi="Roboto" w:eastAsia="Roboto" w:cs="Roboto"/>
          <w:u w:val="single"/>
        </w:rPr>
      </w:pPr>
      <w:r>
        <w:rPr>
          <w:rFonts w:eastAsia="Roboto" w:cs="Roboto" w:ascii="Roboto" w:hAnsi="Roboto"/>
          <w:u w:val="single"/>
        </w:rPr>
      </w:r>
    </w:p>
    <w:p>
      <w:pPr>
        <w:pStyle w:val="Normal1"/>
        <w:numPr>
          <w:ilvl w:val="0"/>
          <w:numId w:val="7"/>
        </w:numPr>
        <w:spacing w:before="0" w:after="0"/>
        <w:rPr>
          <w:rFonts w:ascii="Roboto" w:hAnsi="Roboto" w:eastAsia="Roboto" w:cs="Roboto"/>
        </w:rPr>
      </w:pPr>
      <w:r>
        <w:rPr>
          <w:rFonts w:eastAsia="Roboto" w:cs="Roboto" w:ascii="Roboto" w:hAnsi="Roboto"/>
        </w:rPr>
        <w:t>Beneficiarios: Asociaciones sin ánimo de lucro de la isla de Gran Canaria, que presten servicios a personas dependientes, en el ámbito de la accesibilidad.</w:t>
      </w:r>
    </w:p>
    <w:p>
      <w:pPr>
        <w:pStyle w:val="Normal1"/>
        <w:numPr>
          <w:ilvl w:val="0"/>
          <w:numId w:val="7"/>
        </w:numPr>
        <w:spacing w:before="0" w:after="0"/>
        <w:rPr>
          <w:rFonts w:ascii="Roboto" w:hAnsi="Roboto" w:eastAsia="Roboto" w:cs="Roboto"/>
        </w:rPr>
      </w:pPr>
      <w:r>
        <w:rPr>
          <w:rFonts w:eastAsia="Roboto" w:cs="Roboto" w:ascii="Roboto" w:hAnsi="Roboto"/>
        </w:rPr>
        <w:t>Objetivo: Promover la participación de las Asociaciones sin ánimo de lucro, cuyos objetivos y actuaciones, se enmarquen en atender la demanda de prestación de servicios en el ámbito de la accesibilidad, para la promoción de la autonomía personal y atención a las personas en situación de dependencia.</w:t>
      </w:r>
    </w:p>
    <w:p>
      <w:pPr>
        <w:pStyle w:val="Normal1"/>
        <w:numPr>
          <w:ilvl w:val="0"/>
          <w:numId w:val="7"/>
        </w:numPr>
        <w:spacing w:before="0" w:after="0"/>
        <w:rPr>
          <w:rFonts w:ascii="Roboto" w:hAnsi="Roboto" w:eastAsia="Roboto" w:cs="Roboto"/>
        </w:rPr>
      </w:pPr>
      <w:r>
        <w:rPr>
          <w:rFonts w:eastAsia="Roboto" w:cs="Roboto" w:ascii="Roboto" w:hAnsi="Roboto"/>
        </w:rPr>
        <w:t>Plazo: durante el año 2026.</w:t>
      </w:r>
    </w:p>
    <w:p>
      <w:pPr>
        <w:pStyle w:val="Normal1"/>
        <w:numPr>
          <w:ilvl w:val="0"/>
          <w:numId w:val="7"/>
        </w:numPr>
        <w:spacing w:before="0" w:after="0"/>
        <w:rPr/>
      </w:pPr>
      <w:r>
        <w:rPr>
          <w:rStyle w:val="Fuentedeprrafopredeter"/>
          <w:rFonts w:eastAsia="Roboto" w:cs="Roboto" w:ascii="Roboto" w:hAnsi="Roboto"/>
        </w:rPr>
        <w:t xml:space="preserve">Coste previsible: </w:t>
      </w:r>
      <w:r>
        <w:rPr>
          <w:rStyle w:val="Fuentedeprrafopredeter"/>
          <w:rFonts w:eastAsia="Roboto" w:cs="Roboto" w:ascii="Roboto" w:hAnsi="Roboto"/>
          <w:b/>
          <w:bCs/>
        </w:rPr>
        <w:t>208.000,00 €.</w:t>
      </w:r>
    </w:p>
    <w:p>
      <w:pPr>
        <w:pStyle w:val="Normal1"/>
        <w:numPr>
          <w:ilvl w:val="0"/>
          <w:numId w:val="7"/>
        </w:numPr>
        <w:spacing w:before="0" w:after="0"/>
        <w:rPr>
          <w:rFonts w:ascii="Roboto" w:hAnsi="Roboto" w:eastAsia="Roboto" w:cs="Roboto"/>
        </w:rPr>
      </w:pPr>
      <w:r>
        <w:rPr>
          <w:rFonts w:eastAsia="Roboto" w:cs="Roboto" w:ascii="Roboto" w:hAnsi="Roboto"/>
        </w:rPr>
        <w:t>Financiación: Aportación propia del IAS.</w:t>
      </w:r>
    </w:p>
    <w:p>
      <w:pPr>
        <w:pStyle w:val="Normal1"/>
        <w:numPr>
          <w:ilvl w:val="0"/>
          <w:numId w:val="7"/>
        </w:numPr>
        <w:spacing w:before="0" w:after="0"/>
        <w:rPr>
          <w:rFonts w:ascii="Roboto" w:hAnsi="Roboto" w:eastAsia="Roboto" w:cs="Roboto"/>
        </w:rPr>
      </w:pPr>
      <w:r>
        <w:rPr>
          <w:rFonts w:eastAsia="Roboto" w:cs="Roboto" w:ascii="Roboto" w:hAnsi="Roboto"/>
        </w:rPr>
        <w:t>Aplicación presupuestaria:</w:t>
      </w:r>
    </w:p>
    <w:p>
      <w:pPr>
        <w:pStyle w:val="Normal1"/>
        <w:spacing w:before="0" w:after="0"/>
        <w:rPr/>
      </w:pPr>
      <w:r>
        <w:rPr>
          <w:rStyle w:val="Fuentedeprrafopredeter"/>
          <w:rFonts w:eastAsia="Roboto" w:cs="Roboto" w:ascii="Roboto" w:hAnsi="Roboto"/>
        </w:rPr>
        <w:tab/>
      </w:r>
      <w:r>
        <w:rPr>
          <w:rStyle w:val="Fuentedeprrafopredeter"/>
          <w:rFonts w:eastAsia="Roboto" w:cs="Roboto" w:ascii="Roboto" w:hAnsi="Roboto"/>
          <w:sz w:val="18"/>
          <w:szCs w:val="18"/>
        </w:rPr>
        <w:t>09710/2310/480000926</w:t>
      </w:r>
      <w:r>
        <w:rPr>
          <w:rStyle w:val="Fuentedeprrafopredeter"/>
          <w:rFonts w:eastAsia="Roboto" w:cs="Roboto" w:ascii="Roboto" w:hAnsi="Roboto"/>
        </w:rPr>
        <w:tab/>
        <w:t>A Asoc. Convocatoria Subv. G.C. Accesible</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b/>
          <w:b/>
          <w:bCs/>
        </w:rPr>
      </w:pPr>
      <w:r>
        <w:rPr>
          <w:rFonts w:eastAsia="Roboto" w:cs="Roboto" w:ascii="Roboto" w:hAnsi="Roboto"/>
          <w:b/>
          <w:bCs/>
        </w:rPr>
        <w:t>Régimen de seguimiento y evaluación</w:t>
      </w:r>
    </w:p>
    <w:p>
      <w:pPr>
        <w:pStyle w:val="Normal1"/>
        <w:spacing w:before="0" w:after="0"/>
        <w:rPr>
          <w:rFonts w:ascii="Roboto" w:hAnsi="Roboto" w:eastAsia="Roboto" w:cs="Roboto"/>
          <w:b/>
          <w:b/>
          <w:bCs/>
        </w:rPr>
      </w:pPr>
      <w:r>
        <w:rPr>
          <w:rFonts w:eastAsia="Roboto" w:cs="Roboto" w:ascii="Roboto" w:hAnsi="Roboto"/>
          <w:b/>
          <w:bCs/>
        </w:rPr>
      </w:r>
    </w:p>
    <w:p>
      <w:pPr>
        <w:pStyle w:val="Normal1"/>
        <w:spacing w:before="0" w:after="0"/>
        <w:rPr>
          <w:rFonts w:ascii="Roboto" w:hAnsi="Roboto" w:eastAsia="Roboto" w:cs="Roboto"/>
        </w:rPr>
      </w:pPr>
      <w:r>
        <w:rPr>
          <w:rFonts w:eastAsia="Roboto" w:cs="Roboto" w:ascii="Roboto" w:hAnsi="Roboto"/>
        </w:rPr>
        <w:t>De conformidad con el art. 12, c) del Reglamento de Subvenciones se establece un régimen de seguimiento y evaluación continua aplicable a las diferentes líneas de subvenciones que se establezcan.</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A estos efectos, se deben determinar para cada línea de subvención, un conjunto de indicadores relacionados con los objetivos del Plan, que recogidos periódicamente por los responsables de su seguimiento, permitan conocer el estado de la situación y los progresos conseguidos en el cumplimiento de los respectivos objetivos.</w:t>
      </w:r>
    </w:p>
    <w:p>
      <w:pPr>
        <w:pStyle w:val="Normal1"/>
        <w:spacing w:before="0" w:after="0"/>
        <w:rPr>
          <w:rFonts w:ascii="Roboto" w:hAnsi="Roboto" w:eastAsia="Roboto" w:cs="Roboto"/>
        </w:rPr>
      </w:pPr>
      <w:r>
        <w:rPr>
          <w:rFonts w:eastAsia="Roboto" w:cs="Roboto" w:ascii="Roboto" w:hAnsi="Roboto"/>
        </w:rPr>
        <w:t xml:space="preserve"> </w:t>
      </w:r>
    </w:p>
    <w:p>
      <w:pPr>
        <w:pStyle w:val="Normal1"/>
        <w:spacing w:before="0" w:after="0"/>
        <w:rPr>
          <w:rFonts w:ascii="Roboto" w:hAnsi="Roboto" w:eastAsia="Roboto" w:cs="Roboto"/>
        </w:rPr>
      </w:pPr>
      <w:r>
        <w:rPr>
          <w:rFonts w:eastAsia="Roboto" w:cs="Roboto" w:ascii="Roboto" w:hAnsi="Roboto"/>
        </w:rPr>
        <w:t>Indicadores cuantitativos y cualitativos que una vez analizados nos dará un escenario sobre el grado de cumplimiento o evaluación del Plan Operativo Anual y por tanto de sus logros y posibles desviaciones respecto a los objetivos planteados los que nos permitirá una constante revisión y mejora.</w:t>
      </w:r>
    </w:p>
    <w:p>
      <w:pPr>
        <w:pStyle w:val="Normal1"/>
        <w:spacing w:before="0" w:after="0"/>
        <w:rPr>
          <w:rFonts w:ascii="Roboto" w:hAnsi="Roboto" w:eastAsia="Roboto" w:cs="Roboto"/>
        </w:rPr>
      </w:pPr>
      <w:r>
        <w:rPr>
          <w:rFonts w:eastAsia="Roboto" w:cs="Roboto" w:ascii="Roboto" w:hAnsi="Roboto"/>
        </w:rPr>
      </w:r>
    </w:p>
    <w:p>
      <w:pPr>
        <w:pStyle w:val="Normal1"/>
        <w:spacing w:before="0" w:after="0"/>
        <w:rPr>
          <w:rFonts w:ascii="Roboto" w:hAnsi="Roboto" w:eastAsia="Roboto" w:cs="Roboto"/>
        </w:rPr>
      </w:pPr>
      <w:r>
        <w:rPr>
          <w:rFonts w:eastAsia="Roboto" w:cs="Roboto" w:ascii="Roboto" w:hAnsi="Roboto"/>
        </w:rPr>
        <w:t>A continuación se resumen en una tabla los indicadores propuestos para cada una de las líneas de actuaciones en materia de subvenciones a seguir durante el año 2026.</w:t>
      </w:r>
    </w:p>
    <w:p>
      <w:pPr>
        <w:pStyle w:val="Normal1"/>
        <w:spacing w:before="0" w:after="0"/>
        <w:rPr>
          <w:rFonts w:ascii="Roboto" w:hAnsi="Roboto" w:eastAsia="Roboto" w:cs="Roboto"/>
        </w:rPr>
      </w:pPr>
      <w:r>
        <w:rPr>
          <w:rFonts w:eastAsia="Roboto" w:cs="Roboto" w:ascii="Roboto" w:hAnsi="Roboto"/>
        </w:rPr>
      </w:r>
    </w:p>
    <w:tbl>
      <w:tblPr>
        <w:tblW w:w="8114" w:type="dxa"/>
        <w:jc w:val="left"/>
        <w:tblInd w:w="-89" w:type="dxa"/>
        <w:tblLayout w:type="fixed"/>
        <w:tblCellMar>
          <w:top w:w="0" w:type="dxa"/>
          <w:left w:w="103" w:type="dxa"/>
          <w:bottom w:w="0" w:type="dxa"/>
          <w:right w:w="108" w:type="dxa"/>
        </w:tblCellMar>
      </w:tblPr>
      <w:tblGrid>
        <w:gridCol w:w="3742"/>
        <w:gridCol w:w="4372"/>
      </w:tblGrid>
      <w:tr>
        <w:trPr>
          <w:trHeight w:val="508" w:hRule="atLeast"/>
        </w:trPr>
        <w:tc>
          <w:tcPr>
            <w:tcW w:w="3742" w:type="dxa"/>
            <w:tcBorders>
              <w:top w:val="single" w:sz="4" w:space="0" w:color="000000"/>
              <w:left w:val="single" w:sz="4" w:space="0" w:color="000000"/>
              <w:bottom w:val="single" w:sz="4" w:space="0" w:color="000000"/>
            </w:tcBorders>
            <w:vAlign w:val="center"/>
          </w:tcPr>
          <w:p>
            <w:pPr>
              <w:pStyle w:val="Normal1"/>
              <w:spacing w:before="0" w:after="0"/>
              <w:jc w:val="center"/>
              <w:rPr>
                <w:rFonts w:ascii="Roboto" w:hAnsi="Roboto" w:eastAsia="Roboto" w:cs="Roboto"/>
                <w:b/>
                <w:b/>
                <w:bCs/>
              </w:rPr>
            </w:pPr>
            <w:r>
              <w:rPr>
                <w:rFonts w:eastAsia="Roboto" w:cs="Roboto" w:ascii="Roboto" w:hAnsi="Roboto"/>
                <w:b/>
                <w:bCs/>
              </w:rPr>
              <w:t>Plan Estratégico</w:t>
            </w:r>
          </w:p>
        </w:tc>
        <w:tc>
          <w:tcPr>
            <w:tcW w:w="437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center"/>
              <w:rPr>
                <w:rFonts w:ascii="Roboto" w:hAnsi="Roboto" w:eastAsia="Roboto" w:cs="Roboto"/>
                <w:b/>
                <w:b/>
                <w:bCs/>
              </w:rPr>
            </w:pPr>
            <w:r>
              <w:rPr>
                <w:rFonts w:eastAsia="Roboto" w:cs="Roboto" w:ascii="Roboto" w:hAnsi="Roboto"/>
                <w:b/>
                <w:bCs/>
              </w:rPr>
              <w:t>Objetivo General-estrategias</w:t>
            </w:r>
          </w:p>
        </w:tc>
      </w:tr>
      <w:tr>
        <w:trPr/>
        <w:tc>
          <w:tcPr>
            <w:tcW w:w="3742" w:type="dxa"/>
            <w:tcBorders>
              <w:top w:val="single" w:sz="4" w:space="0" w:color="000000"/>
              <w:left w:val="single" w:sz="4" w:space="0" w:color="000000"/>
              <w:bottom w:val="single" w:sz="4" w:space="0" w:color="000000"/>
            </w:tcBorders>
          </w:tcPr>
          <w:p>
            <w:pPr>
              <w:pStyle w:val="Normal1"/>
              <w:spacing w:before="0" w:after="0"/>
              <w:rPr>
                <w:rFonts w:ascii="Roboto" w:hAnsi="Roboto" w:eastAsia="Roboto" w:cs="Roboto"/>
              </w:rPr>
            </w:pPr>
            <w:r>
              <w:rPr>
                <w:rFonts w:eastAsia="Roboto" w:cs="Roboto" w:ascii="Roboto" w:hAnsi="Roboto"/>
              </w:rPr>
              <w:t>Plan Operativo subvenciones 2026</w:t>
            </w:r>
          </w:p>
          <w:p>
            <w:pPr>
              <w:pStyle w:val="Normal1"/>
              <w:pBdr/>
              <w:tabs>
                <w:tab w:val="clear" w:pos="720"/>
                <w:tab w:val="center" w:pos="4252" w:leader="none"/>
                <w:tab w:val="right" w:pos="8504" w:leader="none"/>
              </w:tabs>
              <w:spacing w:before="0" w:after="0"/>
              <w:rPr>
                <w:rFonts w:ascii="Roboto" w:hAnsi="Roboto" w:eastAsia="Roboto" w:cs="Roboto"/>
              </w:rPr>
            </w:pPr>
            <w:r>
              <w:rPr>
                <w:rFonts w:eastAsia="Roboto" w:cs="Roboto" w:ascii="Roboto" w:hAnsi="Roboto"/>
              </w:rPr>
              <w:t>Líneas de actuación</w:t>
            </w:r>
          </w:p>
          <w:p>
            <w:pPr>
              <w:pStyle w:val="Normal1"/>
              <w:pBdr/>
              <w:tabs>
                <w:tab w:val="clear" w:pos="720"/>
                <w:tab w:val="center" w:pos="4252" w:leader="none"/>
                <w:tab w:val="right" w:pos="8504" w:leader="none"/>
              </w:tabs>
              <w:spacing w:before="0" w:after="0"/>
              <w:rPr>
                <w:rFonts w:ascii="Roboto" w:hAnsi="Roboto" w:eastAsia="Roboto" w:cs="Roboto"/>
              </w:rPr>
            </w:pPr>
            <w:r>
              <w:rPr>
                <w:rFonts w:eastAsia="Roboto" w:cs="Roboto" w:ascii="Roboto" w:hAnsi="Roboto"/>
              </w:rPr>
              <w:t xml:space="preserve">Asociaciones sin ánimo de lucro, empresas privadas y Ayuntamientos que presten servicios a personas dependientes. </w:t>
            </w:r>
          </w:p>
        </w:tc>
        <w:tc>
          <w:tcPr>
            <w:tcW w:w="4372" w:type="dxa"/>
            <w:tcBorders>
              <w:top w:val="single" w:sz="4" w:space="0" w:color="000000"/>
              <w:left w:val="single" w:sz="4" w:space="0" w:color="000000"/>
              <w:bottom w:val="single" w:sz="4" w:space="0" w:color="000000"/>
              <w:right w:val="single" w:sz="4" w:space="0" w:color="000000"/>
            </w:tcBorders>
          </w:tcPr>
          <w:p>
            <w:pPr>
              <w:pStyle w:val="Normal1"/>
              <w:pBdr/>
              <w:spacing w:before="0" w:after="0"/>
              <w:rPr>
                <w:rFonts w:ascii="Roboto" w:hAnsi="Roboto" w:eastAsia="Roboto" w:cs="Roboto"/>
              </w:rPr>
            </w:pPr>
            <w:r>
              <w:rPr>
                <w:rFonts w:eastAsia="Roboto" w:cs="Roboto" w:ascii="Roboto" w:hAnsi="Roboto"/>
              </w:rPr>
              <w:t>-Ofrecer Atención integral y vivienda permanente a las personas mayores que por su problemática familiar, social y/o económica no pueden ser atendidos en sus propios domicilios.</w:t>
            </w:r>
          </w:p>
          <w:p>
            <w:pPr>
              <w:pStyle w:val="Normal1"/>
              <w:spacing w:before="0" w:after="0"/>
              <w:rPr>
                <w:rFonts w:ascii="Roboto" w:hAnsi="Roboto" w:eastAsia="Roboto" w:cs="Roboto"/>
              </w:rPr>
            </w:pPr>
            <w:r>
              <w:rPr>
                <w:rFonts w:eastAsia="Roboto" w:cs="Roboto" w:ascii="Roboto" w:hAnsi="Roboto"/>
              </w:rPr>
              <w:t>- Favorecer las condiciones de vida digna a las personas mayores y con discapacidad, así como a sus familiares, facilitando la continuidad en sus modos de vida y el logro de un mayor nivel de autonomía.</w:t>
            </w:r>
          </w:p>
        </w:tc>
      </w:tr>
      <w:tr>
        <w:trPr>
          <w:trHeight w:val="548" w:hRule="atLeast"/>
        </w:trPr>
        <w:tc>
          <w:tcPr>
            <w:tcW w:w="3742" w:type="dxa"/>
            <w:tcBorders>
              <w:top w:val="single" w:sz="4" w:space="0" w:color="000000"/>
              <w:left w:val="single" w:sz="4" w:space="0" w:color="000000"/>
              <w:bottom w:val="single" w:sz="4" w:space="0" w:color="000000"/>
            </w:tcBorders>
            <w:vAlign w:val="center"/>
          </w:tcPr>
          <w:p>
            <w:pPr>
              <w:pStyle w:val="Normal1"/>
              <w:spacing w:before="0" w:after="0"/>
              <w:jc w:val="center"/>
              <w:rPr>
                <w:rFonts w:ascii="Roboto" w:hAnsi="Roboto" w:eastAsia="Roboto" w:cs="Roboto"/>
                <w:b/>
                <w:b/>
                <w:bCs/>
              </w:rPr>
            </w:pPr>
            <w:r>
              <w:rPr>
                <w:rFonts w:eastAsia="Roboto" w:cs="Roboto" w:ascii="Roboto" w:hAnsi="Roboto"/>
                <w:b/>
                <w:bCs/>
              </w:rPr>
              <w:t>Criterios Generales de Evaluación</w:t>
            </w:r>
          </w:p>
        </w:tc>
        <w:tc>
          <w:tcPr>
            <w:tcW w:w="4372" w:type="dxa"/>
            <w:tcBorders>
              <w:top w:val="single" w:sz="4" w:space="0" w:color="000000"/>
              <w:left w:val="single" w:sz="4" w:space="0" w:color="000000"/>
              <w:bottom w:val="single" w:sz="4" w:space="0" w:color="000000"/>
              <w:right w:val="single" w:sz="4" w:space="0" w:color="000000"/>
            </w:tcBorders>
            <w:vAlign w:val="center"/>
          </w:tcPr>
          <w:p>
            <w:pPr>
              <w:pStyle w:val="Normal1"/>
              <w:spacing w:before="0" w:after="0"/>
              <w:jc w:val="center"/>
              <w:rPr>
                <w:rFonts w:ascii="Roboto" w:hAnsi="Roboto" w:eastAsia="Roboto" w:cs="Roboto"/>
                <w:b/>
                <w:b/>
                <w:bCs/>
              </w:rPr>
            </w:pPr>
            <w:r>
              <w:rPr>
                <w:rFonts w:eastAsia="Roboto" w:cs="Roboto" w:ascii="Roboto" w:hAnsi="Roboto"/>
                <w:b/>
                <w:bCs/>
              </w:rPr>
              <w:t>Indicadores Evaluación 2026</w:t>
            </w:r>
          </w:p>
        </w:tc>
      </w:tr>
      <w:tr>
        <w:trPr/>
        <w:tc>
          <w:tcPr>
            <w:tcW w:w="3742" w:type="dxa"/>
            <w:tcBorders>
              <w:top w:val="single" w:sz="4" w:space="0" w:color="000000"/>
              <w:left w:val="single" w:sz="4" w:space="0" w:color="000000"/>
              <w:bottom w:val="single" w:sz="4" w:space="0" w:color="000000"/>
            </w:tcBorders>
          </w:tcPr>
          <w:p>
            <w:pPr>
              <w:pStyle w:val="Normal1"/>
              <w:spacing w:before="0" w:after="0"/>
              <w:rPr>
                <w:rFonts w:ascii="Roboto" w:hAnsi="Roboto" w:eastAsia="Roboto" w:cs="Roboto"/>
              </w:rPr>
            </w:pPr>
            <w:r>
              <w:rPr>
                <w:rFonts w:eastAsia="Roboto" w:cs="Roboto" w:ascii="Roboto" w:hAnsi="Roboto"/>
              </w:rPr>
              <w:t>-Seguimiento y evaluación continua del proceso económico-administrativo de convocatoria y concesión de las subvenciones</w:t>
            </w:r>
          </w:p>
          <w:p>
            <w:pPr>
              <w:pStyle w:val="Normal1"/>
              <w:spacing w:before="0" w:after="0"/>
              <w:rPr>
                <w:rFonts w:ascii="Roboto" w:hAnsi="Roboto" w:eastAsia="Roboto" w:cs="Roboto"/>
              </w:rPr>
            </w:pPr>
            <w:r>
              <w:rPr>
                <w:rFonts w:eastAsia="Roboto" w:cs="Roboto" w:ascii="Roboto" w:hAnsi="Roboto"/>
              </w:rPr>
              <w:t>-Art. 32.1 de la LGS y art. 84.1 del Reglamento.</w:t>
            </w:r>
          </w:p>
          <w:p>
            <w:pPr>
              <w:pStyle w:val="Normal1"/>
              <w:spacing w:before="0" w:after="0"/>
              <w:rPr>
                <w:rFonts w:ascii="Roboto" w:hAnsi="Roboto" w:eastAsia="Roboto" w:cs="Roboto"/>
              </w:rPr>
            </w:pPr>
            <w:r>
              <w:rPr>
                <w:rFonts w:eastAsia="Roboto" w:cs="Roboto" w:ascii="Roboto" w:hAnsi="Roboto"/>
              </w:rPr>
              <w:t>-Revisión obligaciones del beneficiario.</w:t>
            </w:r>
          </w:p>
          <w:p>
            <w:pPr>
              <w:pStyle w:val="Normal1"/>
              <w:spacing w:before="0" w:after="0"/>
              <w:rPr>
                <w:rFonts w:ascii="Roboto" w:hAnsi="Roboto" w:eastAsia="Roboto" w:cs="Roboto"/>
              </w:rPr>
            </w:pPr>
            <w:r>
              <w:rPr>
                <w:rFonts w:eastAsia="Roboto" w:cs="Roboto" w:ascii="Roboto" w:hAnsi="Roboto"/>
              </w:rPr>
              <w:t>- Impacto de la subvención.</w:t>
            </w:r>
          </w:p>
          <w:p>
            <w:pPr>
              <w:pStyle w:val="Normal1"/>
              <w:spacing w:before="0" w:after="0"/>
              <w:rPr>
                <w:rFonts w:ascii="Roboto" w:hAnsi="Roboto" w:eastAsia="Roboto" w:cs="Roboto"/>
              </w:rPr>
            </w:pPr>
            <w:r>
              <w:rPr>
                <w:rFonts w:eastAsia="Roboto" w:cs="Roboto" w:ascii="Roboto" w:hAnsi="Roboto"/>
              </w:rPr>
              <w:t>- Memoria. Informe final anual Plan Estratégico.</w:t>
            </w:r>
          </w:p>
          <w:p>
            <w:pPr>
              <w:pStyle w:val="Normal1"/>
              <w:spacing w:before="0" w:after="0"/>
              <w:rPr>
                <w:rFonts w:ascii="Roboto" w:hAnsi="Roboto" w:eastAsia="Roboto" w:cs="Roboto"/>
              </w:rPr>
            </w:pPr>
            <w:r>
              <w:rPr>
                <w:rFonts w:eastAsia="Roboto" w:cs="Roboto" w:ascii="Roboto" w:hAnsi="Roboto"/>
              </w:rPr>
              <w:t>- Retroalimentación.</w:t>
            </w:r>
          </w:p>
        </w:tc>
        <w:tc>
          <w:tcPr>
            <w:tcW w:w="4372" w:type="dxa"/>
            <w:tcBorders>
              <w:top w:val="single" w:sz="4" w:space="0" w:color="000000"/>
              <w:left w:val="single" w:sz="4" w:space="0" w:color="000000"/>
              <w:bottom w:val="single" w:sz="4" w:space="0" w:color="000000"/>
              <w:right w:val="single" w:sz="4" w:space="0" w:color="000000"/>
            </w:tcBorders>
          </w:tcPr>
          <w:p>
            <w:pPr>
              <w:pStyle w:val="Normal1"/>
              <w:spacing w:before="0" w:after="0"/>
              <w:rPr/>
            </w:pPr>
            <w:r>
              <w:rPr>
                <w:rStyle w:val="Fuentedeprrafopredeter"/>
                <w:rFonts w:eastAsia="Roboto" w:cs="Roboto" w:ascii="Roboto" w:hAnsi="Roboto"/>
                <w:u w:val="single"/>
              </w:rPr>
              <w:t>Línea 1</w:t>
            </w:r>
            <w:r>
              <w:rPr>
                <w:rStyle w:val="Fuentedeprrafopredeter"/>
                <w:rFonts w:eastAsia="Roboto" w:cs="Roboto" w:ascii="Roboto" w:hAnsi="Roboto"/>
              </w:rPr>
              <w:t>. Atención sociosanitaria:</w:t>
            </w:r>
          </w:p>
          <w:p>
            <w:pPr>
              <w:pStyle w:val="Normal1"/>
              <w:numPr>
                <w:ilvl w:val="0"/>
                <w:numId w:val="8"/>
              </w:numPr>
              <w:tabs>
                <w:tab w:val="clear" w:pos="720"/>
                <w:tab w:val="left" w:pos="400" w:leader="none"/>
              </w:tabs>
              <w:spacing w:before="0" w:after="0"/>
              <w:ind w:left="0" w:right="0" w:hanging="0"/>
              <w:rPr>
                <w:rFonts w:ascii="Roboto" w:hAnsi="Roboto" w:eastAsia="Roboto" w:cs="Roboto"/>
              </w:rPr>
            </w:pPr>
            <w:r>
              <w:rPr>
                <w:rFonts w:eastAsia="Roboto" w:cs="Roboto" w:ascii="Roboto" w:hAnsi="Roboto"/>
              </w:rPr>
              <w:t>Número de usuarios.</w:t>
            </w:r>
          </w:p>
          <w:p>
            <w:pPr>
              <w:pStyle w:val="Normal1"/>
              <w:numPr>
                <w:ilvl w:val="0"/>
                <w:numId w:val="8"/>
              </w:numPr>
              <w:tabs>
                <w:tab w:val="clear" w:pos="720"/>
                <w:tab w:val="left" w:pos="400" w:leader="none"/>
              </w:tabs>
              <w:spacing w:before="0" w:after="0"/>
              <w:ind w:left="0" w:right="0" w:hanging="0"/>
              <w:rPr>
                <w:rFonts w:ascii="Roboto" w:hAnsi="Roboto" w:eastAsia="Roboto" w:cs="Roboto"/>
              </w:rPr>
            </w:pPr>
            <w:r>
              <w:rPr>
                <w:rFonts w:eastAsia="Roboto" w:cs="Roboto" w:ascii="Roboto" w:hAnsi="Roboto"/>
              </w:rPr>
              <w:t>Memoria de valoración individual de las habilidades, destrezas y capacidad de los usuarios se utilizarán diferentes escalas y cuestionarios de evaluación.</w:t>
            </w:r>
          </w:p>
          <w:p>
            <w:pPr>
              <w:pStyle w:val="Normal1"/>
              <w:spacing w:before="0" w:after="0"/>
              <w:rPr/>
            </w:pPr>
            <w:r>
              <w:rPr>
                <w:rStyle w:val="Fuentedeprrafopredeter"/>
                <w:rFonts w:eastAsia="Roboto" w:cs="Roboto" w:ascii="Roboto" w:hAnsi="Roboto"/>
                <w:u w:val="single"/>
              </w:rPr>
              <w:t>Línea 2</w:t>
            </w:r>
            <w:r>
              <w:rPr>
                <w:rStyle w:val="Fuentedeprrafopredeter"/>
                <w:rFonts w:eastAsia="Roboto" w:cs="Roboto" w:ascii="Roboto" w:hAnsi="Roboto"/>
              </w:rPr>
              <w:t>. Atención discapacidad.</w:t>
            </w:r>
          </w:p>
          <w:p>
            <w:pPr>
              <w:pStyle w:val="Normal1"/>
              <w:numPr>
                <w:ilvl w:val="0"/>
                <w:numId w:val="9"/>
              </w:numPr>
              <w:tabs>
                <w:tab w:val="clear" w:pos="720"/>
                <w:tab w:val="left" w:pos="450" w:leader="none"/>
              </w:tabs>
              <w:spacing w:before="0" w:after="0"/>
              <w:ind w:left="113" w:right="0" w:hanging="0"/>
              <w:rPr>
                <w:rFonts w:ascii="Roboto" w:hAnsi="Roboto" w:eastAsia="Roboto" w:cs="Roboto"/>
              </w:rPr>
            </w:pPr>
            <w:r>
              <w:rPr>
                <w:rFonts w:eastAsia="Roboto" w:cs="Roboto" w:ascii="Roboto" w:hAnsi="Roboto"/>
              </w:rPr>
              <w:t>Número de usuarios.</w:t>
            </w:r>
          </w:p>
          <w:p>
            <w:pPr>
              <w:pStyle w:val="Normal1"/>
              <w:numPr>
                <w:ilvl w:val="0"/>
                <w:numId w:val="9"/>
              </w:numPr>
              <w:tabs>
                <w:tab w:val="clear" w:pos="720"/>
                <w:tab w:val="left" w:pos="450" w:leader="none"/>
              </w:tabs>
              <w:spacing w:before="0" w:after="0"/>
              <w:ind w:left="113" w:right="0" w:hanging="0"/>
              <w:rPr>
                <w:rFonts w:ascii="Roboto" w:hAnsi="Roboto" w:eastAsia="Roboto" w:cs="Roboto"/>
              </w:rPr>
            </w:pPr>
            <w:r>
              <w:rPr>
                <w:rFonts w:eastAsia="Roboto" w:cs="Roboto" w:ascii="Roboto" w:hAnsi="Roboto"/>
              </w:rPr>
              <w:t>Memoria de valoración individual de las habilidades, destrezas y capacidad de los usuarios se utilizarán diferentes escalas y cuestionarios de evaluación:</w:t>
            </w:r>
          </w:p>
          <w:p>
            <w:pPr>
              <w:pStyle w:val="Normal1"/>
              <w:numPr>
                <w:ilvl w:val="1"/>
                <w:numId w:val="10"/>
              </w:numPr>
              <w:tabs>
                <w:tab w:val="clear" w:pos="720"/>
                <w:tab w:val="left" w:pos="508" w:leader="none"/>
                <w:tab w:val="left" w:pos="967" w:leader="none"/>
              </w:tabs>
              <w:spacing w:before="0" w:after="0"/>
              <w:ind w:left="567" w:right="0" w:hanging="0"/>
              <w:rPr>
                <w:rFonts w:ascii="Roboto" w:hAnsi="Roboto" w:eastAsia="Roboto" w:cs="Roboto"/>
              </w:rPr>
            </w:pPr>
            <w:r>
              <w:rPr>
                <w:rFonts w:eastAsia="Roboto" w:cs="Roboto" w:ascii="Roboto" w:hAnsi="Roboto"/>
              </w:rPr>
              <w:t>Registros de observación. Inventario</w:t>
            </w:r>
          </w:p>
          <w:p>
            <w:pPr>
              <w:pStyle w:val="Normal1"/>
              <w:numPr>
                <w:ilvl w:val="1"/>
                <w:numId w:val="10"/>
              </w:numPr>
              <w:tabs>
                <w:tab w:val="clear" w:pos="720"/>
              </w:tabs>
              <w:spacing w:before="0" w:after="0"/>
              <w:ind w:left="624" w:right="0" w:hanging="0"/>
              <w:rPr>
                <w:rFonts w:ascii="Roboto" w:hAnsi="Roboto" w:eastAsia="Roboto" w:cs="Roboto"/>
              </w:rPr>
            </w:pPr>
            <w:r>
              <w:rPr>
                <w:rFonts w:eastAsia="Roboto" w:cs="Roboto" w:ascii="Roboto" w:hAnsi="Roboto"/>
              </w:rPr>
              <w:t>Registro para el aprendizaje de sistemas alternativos de comunicación (SAC)</w:t>
            </w:r>
          </w:p>
          <w:p>
            <w:pPr>
              <w:pStyle w:val="Normal1"/>
              <w:numPr>
                <w:ilvl w:val="1"/>
                <w:numId w:val="10"/>
              </w:numPr>
              <w:tabs>
                <w:tab w:val="clear" w:pos="720"/>
                <w:tab w:val="left" w:pos="850" w:leader="none"/>
              </w:tabs>
              <w:spacing w:before="0" w:after="0"/>
              <w:ind w:left="680" w:right="0" w:hanging="0"/>
              <w:rPr>
                <w:rFonts w:ascii="Roboto" w:hAnsi="Roboto" w:eastAsia="Roboto" w:cs="Roboto"/>
              </w:rPr>
            </w:pPr>
            <w:r>
              <w:rPr>
                <w:rFonts w:eastAsia="Roboto" w:cs="Roboto" w:ascii="Roboto" w:hAnsi="Roboto"/>
              </w:rPr>
              <w:t>Registro de masticación y deglución.</w:t>
            </w:r>
          </w:p>
          <w:p>
            <w:pPr>
              <w:pStyle w:val="Normal1"/>
              <w:numPr>
                <w:ilvl w:val="1"/>
                <w:numId w:val="10"/>
              </w:numPr>
              <w:tabs>
                <w:tab w:val="clear" w:pos="720"/>
                <w:tab w:val="left" w:pos="850" w:leader="none"/>
              </w:tabs>
              <w:spacing w:before="0" w:after="0"/>
              <w:ind w:left="794" w:right="0" w:hanging="0"/>
              <w:rPr>
                <w:rFonts w:ascii="Roboto" w:hAnsi="Roboto" w:eastAsia="Roboto" w:cs="Roboto"/>
              </w:rPr>
            </w:pPr>
            <w:r>
              <w:rPr>
                <w:rFonts w:eastAsia="Roboto" w:cs="Roboto" w:ascii="Roboto" w:hAnsi="Roboto"/>
              </w:rPr>
              <w:t>Registro de estimulación del habla.</w:t>
            </w:r>
          </w:p>
          <w:p>
            <w:pPr>
              <w:pStyle w:val="Normal1"/>
              <w:numPr>
                <w:ilvl w:val="1"/>
                <w:numId w:val="10"/>
              </w:numPr>
              <w:tabs>
                <w:tab w:val="clear" w:pos="720"/>
                <w:tab w:val="left" w:pos="850" w:leader="none"/>
              </w:tabs>
              <w:spacing w:before="0" w:after="0"/>
              <w:ind w:left="794" w:right="0" w:hanging="0"/>
              <w:rPr>
                <w:rFonts w:ascii="Roboto" w:hAnsi="Roboto" w:eastAsia="Roboto" w:cs="Roboto"/>
              </w:rPr>
            </w:pPr>
            <w:r>
              <w:rPr>
                <w:rFonts w:eastAsia="Roboto" w:cs="Roboto" w:ascii="Roboto" w:hAnsi="Roboto"/>
              </w:rPr>
              <w:t>Otros</w:t>
            </w:r>
          </w:p>
          <w:p>
            <w:pPr>
              <w:pStyle w:val="Normal1"/>
              <w:numPr>
                <w:ilvl w:val="0"/>
                <w:numId w:val="10"/>
              </w:numPr>
              <w:spacing w:before="0" w:after="0"/>
              <w:rPr>
                <w:rFonts w:ascii="Roboto" w:hAnsi="Roboto" w:eastAsia="Roboto" w:cs="Roboto"/>
              </w:rPr>
            </w:pPr>
            <w:r>
              <w:rPr>
                <w:rFonts w:eastAsia="Roboto" w:cs="Roboto" w:ascii="Roboto" w:hAnsi="Roboto"/>
              </w:rPr>
              <w:t>Evaluación de programa</w:t>
            </w:r>
          </w:p>
          <w:p>
            <w:pPr>
              <w:pStyle w:val="Normal1"/>
              <w:numPr>
                <w:ilvl w:val="0"/>
                <w:numId w:val="10"/>
              </w:numPr>
              <w:spacing w:before="0" w:after="0"/>
              <w:rPr>
                <w:rFonts w:ascii="Roboto" w:hAnsi="Roboto" w:eastAsia="Roboto" w:cs="Roboto"/>
              </w:rPr>
            </w:pPr>
            <w:r>
              <w:rPr>
                <w:rFonts w:eastAsia="Roboto" w:cs="Roboto" w:ascii="Roboto" w:hAnsi="Roboto"/>
              </w:rPr>
              <w:t>Evaluación de satisfacción</w:t>
            </w:r>
          </w:p>
          <w:p>
            <w:pPr>
              <w:pStyle w:val="Normal1"/>
              <w:numPr>
                <w:ilvl w:val="0"/>
                <w:numId w:val="10"/>
              </w:numPr>
              <w:tabs>
                <w:tab w:val="clear" w:pos="720"/>
              </w:tabs>
              <w:spacing w:before="0" w:after="0"/>
              <w:ind w:left="283" w:right="0" w:hanging="56"/>
              <w:rPr>
                <w:rFonts w:ascii="Roboto" w:hAnsi="Roboto" w:eastAsia="Roboto" w:cs="Roboto"/>
              </w:rPr>
            </w:pPr>
            <w:r>
              <w:rPr>
                <w:rFonts w:eastAsia="Roboto" w:cs="Roboto" w:ascii="Roboto" w:hAnsi="Roboto"/>
              </w:rPr>
              <w:t>Evaluación de la calidad del servicio.</w:t>
            </w:r>
          </w:p>
        </w:tc>
      </w:tr>
    </w:tbl>
    <w:p>
      <w:pPr>
        <w:pStyle w:val="Normal1"/>
        <w:spacing w:before="0" w:after="0"/>
        <w:rPr>
          <w:rFonts w:ascii="Roboto" w:hAnsi="Roboto" w:eastAsia="Roboto" w:cs="Roboto"/>
          <w:b/>
          <w:b/>
          <w:bCs/>
        </w:rPr>
      </w:pPr>
      <w:r>
        <w:rPr>
          <w:rFonts w:eastAsia="Roboto" w:cs="Roboto" w:ascii="Roboto" w:hAnsi="Roboto"/>
          <w:b/>
          <w:bCs/>
        </w:rPr>
      </w:r>
    </w:p>
    <w:sectPr>
      <w:headerReference w:type="default" r:id="rId2"/>
      <w:headerReference w:type="first" r:id="rId3"/>
      <w:footerReference w:type="default" r:id="rId4"/>
      <w:footerReference w:type="first" r:id="rId5"/>
      <w:type w:val="nextPage"/>
      <w:pgSz w:w="11906" w:h="16838"/>
      <w:pgMar w:left="1985" w:right="1701" w:gutter="0" w:header="1304" w:top="3402" w:footer="794" w:bottom="1701"/>
      <w:pgNumType w:start="1"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Arial Narrow">
    <w:charset w:val="01"/>
    <w:family w:val="swiss"/>
    <w:pitch w:val="variable"/>
  </w:font>
  <w:font w:name="Roboto">
    <w:charset w:val="01"/>
    <w:family w:val="auto"/>
    <w:pitch w:val="variable"/>
  </w:font>
  <w:font w:name="Georgia">
    <w:charset w:val="01"/>
    <w:family w:val="auto"/>
    <w:pitch w:val="default"/>
  </w:font>
  <w:font w:name="Verdana">
    <w:charset w:val="01"/>
    <w:family w:val="swiss"/>
    <w:pitch w:val="variable"/>
  </w:font>
  <w:font w:name="Wingdings">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252" w:leader="none"/>
        <w:tab w:val="right" w:pos="8504" w:leader="none"/>
      </w:tabs>
      <w:ind w:left="0" w:right="360" w:hanging="0"/>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252" w:leader="none"/>
        <w:tab w:val="right" w:pos="8504" w:leader="none"/>
      </w:tabs>
      <w:ind w:left="0" w:right="360" w:hanging="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252" w:leader="none"/>
        <w:tab w:val="right" w:pos="8504" w:leader="none"/>
      </w:tabs>
      <w:rPr/>
    </w:pPr>
    <w:r>
      <w:rPr/>
      <w:drawing>
        <wp:anchor behindDoc="0" distT="0" distB="0" distL="0" distR="0" simplePos="0" locked="0" layoutInCell="0" allowOverlap="1" relativeHeight="12">
          <wp:simplePos x="0" y="0"/>
          <wp:positionH relativeFrom="column">
            <wp:posOffset>0</wp:posOffset>
          </wp:positionH>
          <wp:positionV relativeFrom="paragraph">
            <wp:posOffset>635</wp:posOffset>
          </wp:positionV>
          <wp:extent cx="1695450" cy="720090"/>
          <wp:effectExtent l="0" t="0" r="0" b="0"/>
          <wp:wrapSquare wrapText="bothSides"/>
          <wp:docPr id="3"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
                  <pic:cNvPicPr>
                    <a:picLocks noChangeAspect="1" noChangeArrowheads="1"/>
                  </pic:cNvPicPr>
                </pic:nvPicPr>
                <pic:blipFill>
                  <a:blip r:embed="rId1"/>
                  <a:stretch>
                    <a:fillRect/>
                  </a:stretch>
                </pic:blipFill>
                <pic:spPr bwMode="auto">
                  <a:xfrm>
                    <a:off x="0" y="0"/>
                    <a:ext cx="1695450" cy="72009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pBdr/>
      <w:tabs>
        <w:tab w:val="clear" w:pos="720"/>
        <w:tab w:val="center" w:pos="4252" w:leader="none"/>
        <w:tab w:val="right" w:pos="8504" w:leader="none"/>
      </w:tabs>
      <w:rPr/>
    </w:pPr>
    <w:r>
      <w:rPr/>
      <w:drawing>
        <wp:anchor behindDoc="0" distT="0" distB="0" distL="0" distR="0" simplePos="0" locked="0" layoutInCell="0" allowOverlap="1" relativeHeight="13">
          <wp:simplePos x="0" y="0"/>
          <wp:positionH relativeFrom="column">
            <wp:posOffset>0</wp:posOffset>
          </wp:positionH>
          <wp:positionV relativeFrom="paragraph">
            <wp:posOffset>-63500</wp:posOffset>
          </wp:positionV>
          <wp:extent cx="2329180" cy="989965"/>
          <wp:effectExtent l="0" t="0" r="0" b="0"/>
          <wp:wrapSquare wrapText="bothSides"/>
          <wp:docPr id="4"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1" descr=""/>
                  <pic:cNvPicPr>
                    <a:picLocks noChangeAspect="1" noChangeArrowheads="1"/>
                  </pic:cNvPicPr>
                </pic:nvPicPr>
                <pic:blipFill>
                  <a:blip r:embed="rId1"/>
                  <a:stretch>
                    <a:fillRect/>
                  </a:stretch>
                </pic:blipFill>
                <pic:spPr bwMode="auto">
                  <a:xfrm>
                    <a:off x="0" y="0"/>
                    <a:ext cx="2329180" cy="98996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tulo1"/>
      <w:numFmt w:val="none"/>
      <w:suff w:val="nothing"/>
      <w:lvlText w:val="%1"/>
      <w:lvlJc w:val="left"/>
      <w:pPr>
        <w:tabs>
          <w:tab w:val="num" w:pos="0"/>
        </w:tabs>
        <w:ind w:left="0" w:hanging="0"/>
      </w:pPr>
    </w:lvl>
    <w:lvl w:ilvl="1">
      <w:start w:val="1"/>
      <w:pStyle w:val="Ttulo2"/>
      <w:numFmt w:val="none"/>
      <w:suff w:val="nothing"/>
      <w:lvlText w:val="%2"/>
      <w:lvlJc w:val="left"/>
      <w:pPr>
        <w:tabs>
          <w:tab w:val="num" w:pos="0"/>
        </w:tabs>
        <w:ind w:left="0" w:hanging="0"/>
      </w:pPr>
    </w:lvl>
    <w:lvl w:ilvl="2">
      <w:start w:val="1"/>
      <w:pStyle w:val="Ttulo3"/>
      <w:numFmt w:val="none"/>
      <w:suff w:val="nothing"/>
      <w:lvlText w:val="%3"/>
      <w:lvlJc w:val="left"/>
      <w:pPr>
        <w:tabs>
          <w:tab w:val="num" w:pos="0"/>
        </w:tabs>
        <w:ind w:left="0" w:hanging="0"/>
      </w:pPr>
    </w:lvl>
    <w:lvl w:ilvl="3">
      <w:start w:val="1"/>
      <w:pStyle w:val="Ttulo4"/>
      <w:numFmt w:val="none"/>
      <w:suff w:val="nothing"/>
      <w:lvlText w:val="%4"/>
      <w:lvlJc w:val="left"/>
      <w:pPr>
        <w:tabs>
          <w:tab w:val="num" w:pos="0"/>
        </w:tabs>
        <w:ind w:left="0" w:hanging="0"/>
      </w:pPr>
    </w:lvl>
    <w:lvl w:ilvl="4">
      <w:start w:val="1"/>
      <w:pStyle w:val="Ttulo5"/>
      <w:numFmt w:val="none"/>
      <w:suff w:val="nothing"/>
      <w:lvlText w:val="%5"/>
      <w:lvlJc w:val="left"/>
      <w:pPr>
        <w:tabs>
          <w:tab w:val="num" w:pos="0"/>
        </w:tabs>
        <w:ind w:left="0" w:hanging="0"/>
      </w:pPr>
    </w:lvl>
    <w:lvl w:ilvl="5">
      <w:start w:val="1"/>
      <w:pStyle w:val="Ttulo6"/>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l"/>
      <w:lvlJc w:val="left"/>
      <w:pPr>
        <w:tabs>
          <w:tab w:val="num" w:pos="0"/>
        </w:tabs>
        <w:ind w:left="720" w:hanging="360"/>
      </w:pPr>
      <w:rPr>
        <w:rFonts w:ascii="Wingdings" w:hAnsi="Wingdings" w:cs="Wingdings" w:hint="default"/>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3">
    <w:lvl w:ilvl="0">
      <w:start w:val="1"/>
      <w:numFmt w:val="upperLetter"/>
      <w:lvlText w:val="%1)"/>
      <w:lvlJc w:val="left"/>
      <w:pPr>
        <w:tabs>
          <w:tab w:val="num" w:pos="0"/>
        </w:tabs>
        <w:ind w:left="720" w:hanging="360"/>
      </w:pPr>
    </w:lvl>
    <w:lvl w:ilvl="1">
      <w:start w:val="1"/>
      <w:numFmt w:val="bullet"/>
      <w:lvlText w:val="l"/>
      <w:lvlJc w:val="left"/>
      <w:pPr>
        <w:tabs>
          <w:tab w:val="num" w:pos="0"/>
        </w:tabs>
        <w:ind w:left="1515" w:hanging="435"/>
      </w:pPr>
      <w:rPr>
        <w:rFonts w:ascii="Wingdings" w:hAnsi="Wingdings" w:cs="Wingdings"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432" w:hanging="432"/>
      </w:pPr>
    </w:lvl>
    <w:lvl w:ilvl="1">
      <w:start w:val="1"/>
      <w:numFmt w:val="decimal"/>
      <w:lvlText w:val="%2"/>
      <w:lvlJc w:val="left"/>
      <w:pPr>
        <w:tabs>
          <w:tab w:val="num" w:pos="0"/>
        </w:tabs>
        <w:ind w:left="576" w:hanging="576"/>
      </w:pPr>
    </w:lvl>
    <w:lvl w:ilvl="2">
      <w:start w:val="1"/>
      <w:numFmt w:val="decimal"/>
      <w:lvlText w:val="%3"/>
      <w:lvlJc w:val="left"/>
      <w:pPr>
        <w:tabs>
          <w:tab w:val="num" w:pos="0"/>
        </w:tabs>
        <w:ind w:left="720" w:hanging="720"/>
      </w:pPr>
    </w:lvl>
    <w:lvl w:ilvl="3">
      <w:start w:val="1"/>
      <w:numFmt w:val="decimal"/>
      <w:lvlText w:val="%4"/>
      <w:lvlJc w:val="left"/>
      <w:pPr>
        <w:tabs>
          <w:tab w:val="num" w:pos="0"/>
        </w:tabs>
        <w:ind w:left="864" w:hanging="864"/>
      </w:pPr>
    </w:lvl>
    <w:lvl w:ilvl="4">
      <w:start w:val="1"/>
      <w:numFmt w:val="decimal"/>
      <w:lvlText w:val="%5"/>
      <w:lvlJc w:val="left"/>
      <w:pPr>
        <w:tabs>
          <w:tab w:val="num" w:pos="0"/>
        </w:tabs>
        <w:ind w:left="1008" w:hanging="1008"/>
      </w:pPr>
    </w:lvl>
    <w:lvl w:ilvl="5">
      <w:start w:val="1"/>
      <w:numFmt w:val="decimal"/>
      <w:lvlText w:val="%6"/>
      <w:lvlJc w:val="left"/>
      <w:pPr>
        <w:tabs>
          <w:tab w:val="num" w:pos="0"/>
        </w:tabs>
        <w:ind w:left="1152" w:hanging="1152"/>
      </w:pPr>
    </w:lvl>
    <w:lvl w:ilvl="6">
      <w:start w:val="1"/>
      <w:numFmt w:val="decimal"/>
      <w:lvlText w:val="%7"/>
      <w:lvlJc w:val="left"/>
      <w:pPr>
        <w:tabs>
          <w:tab w:val="num" w:pos="0"/>
        </w:tabs>
        <w:ind w:left="1296" w:hanging="1296"/>
      </w:pPr>
    </w:lvl>
    <w:lvl w:ilvl="7">
      <w:start w:val="1"/>
      <w:numFmt w:val="decimal"/>
      <w:lvlText w:val="%8"/>
      <w:lvlJc w:val="left"/>
      <w:pPr>
        <w:tabs>
          <w:tab w:val="num" w:pos="0"/>
        </w:tabs>
        <w:ind w:left="1440" w:hanging="1440"/>
      </w:pPr>
    </w:lvl>
    <w:lvl w:ilvl="8">
      <w:start w:val="1"/>
      <w:numFmt w:val="decimal"/>
      <w:lvlText w:val="%9"/>
      <w:lvlJc w:val="left"/>
      <w:pPr>
        <w:tabs>
          <w:tab w:val="num" w:pos="0"/>
        </w:tabs>
        <w:ind w:left="1584" w:hanging="1584"/>
      </w:pPr>
    </w:lvl>
  </w:abstractNum>
  <w:abstractNum w:abstractNumId="5">
    <w:lvl w:ilvl="0">
      <w:start w:val="1"/>
      <w:numFmt w:val="decimal"/>
      <w:lvlText w:val="%1."/>
      <w:lvlJc w:val="left"/>
      <w:pPr>
        <w:tabs>
          <w:tab w:val="num" w:pos="0"/>
        </w:tabs>
        <w:ind w:left="555" w:hanging="555"/>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6">
    <w:lvl w:ilvl="0">
      <w:start w:val="1"/>
      <w:numFmt w:val="lowerLetter"/>
      <w:lvlText w:val="%1)"/>
      <w:lvlJc w:val="left"/>
      <w:pPr>
        <w:tabs>
          <w:tab w:val="num" w:pos="0"/>
        </w:tabs>
        <w:ind w:left="585" w:hanging="360"/>
      </w:pPr>
      <w:rPr>
        <w:rFonts w:ascii="Roboto" w:hAnsi="Roboto" w:eastAsia="Roboto" w:cs="Roboto"/>
      </w:r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7">
    <w:lvl w:ilvl="0">
      <w:start w:val="1"/>
      <w:numFmt w:val="lowerLetter"/>
      <w:lvlText w:val="%1."/>
      <w:lvlJc w:val="left"/>
      <w:pPr>
        <w:tabs>
          <w:tab w:val="num" w:pos="0"/>
        </w:tabs>
        <w:ind w:left="585" w:hanging="36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8">
    <w:lvl w:ilvl="0">
      <w:start w:val="1"/>
      <w:numFmt w:val="bullet"/>
      <w:lvlText w:val="l"/>
      <w:lvlJc w:val="left"/>
      <w:pPr>
        <w:tabs>
          <w:tab w:val="num" w:pos="0"/>
        </w:tabs>
        <w:ind w:left="720" w:hanging="360"/>
      </w:pPr>
      <w:rPr>
        <w:rFonts w:ascii="Wingdings" w:hAnsi="Wingdings" w:cs="Wingdings" w:hint="default"/>
      </w:rPr>
    </w:lvl>
    <w:lvl w:ilvl="1">
      <w:start w:val="1"/>
      <w:numFmt w:val="bullet"/>
      <w:lvlText w:val="l"/>
      <w:lvlJc w:val="left"/>
      <w:pPr>
        <w:tabs>
          <w:tab w:val="num" w:pos="0"/>
        </w:tabs>
        <w:ind w:left="1080" w:hanging="360"/>
      </w:pPr>
      <w:rPr>
        <w:rFonts w:ascii="Wingdings" w:hAnsi="Wingdings" w:cs="Wingdings" w:hint="default"/>
      </w:rPr>
    </w:lvl>
    <w:lvl w:ilvl="2">
      <w:start w:val="1"/>
      <w:numFmt w:val="bullet"/>
      <w:lvlText w:val="l"/>
      <w:lvlJc w:val="left"/>
      <w:pPr>
        <w:tabs>
          <w:tab w:val="num" w:pos="0"/>
        </w:tabs>
        <w:ind w:left="1440" w:hanging="360"/>
      </w:pPr>
      <w:rPr>
        <w:rFonts w:ascii="Wingdings" w:hAnsi="Wingdings" w:cs="Wingdings" w:hint="default"/>
      </w:rPr>
    </w:lvl>
    <w:lvl w:ilvl="3">
      <w:start w:val="1"/>
      <w:numFmt w:val="bullet"/>
      <w:lvlText w:val="l"/>
      <w:lvlJc w:val="left"/>
      <w:pPr>
        <w:tabs>
          <w:tab w:val="num" w:pos="0"/>
        </w:tabs>
        <w:ind w:left="1800" w:hanging="360"/>
      </w:pPr>
      <w:rPr>
        <w:rFonts w:ascii="Wingdings" w:hAnsi="Wingdings" w:cs="Wingdings" w:hint="default"/>
      </w:rPr>
    </w:lvl>
    <w:lvl w:ilvl="4">
      <w:start w:val="1"/>
      <w:numFmt w:val="bullet"/>
      <w:lvlText w:val="l"/>
      <w:lvlJc w:val="left"/>
      <w:pPr>
        <w:tabs>
          <w:tab w:val="num" w:pos="0"/>
        </w:tabs>
        <w:ind w:left="2160" w:hanging="360"/>
      </w:pPr>
      <w:rPr>
        <w:rFonts w:ascii="Wingdings" w:hAnsi="Wingdings" w:cs="Wingdings" w:hint="default"/>
      </w:rPr>
    </w:lvl>
    <w:lvl w:ilvl="5">
      <w:start w:val="1"/>
      <w:numFmt w:val="bullet"/>
      <w:lvlText w:val="l"/>
      <w:lvlJc w:val="left"/>
      <w:pPr>
        <w:tabs>
          <w:tab w:val="num" w:pos="0"/>
        </w:tabs>
        <w:ind w:left="2520" w:hanging="360"/>
      </w:pPr>
      <w:rPr>
        <w:rFonts w:ascii="Wingdings" w:hAnsi="Wingdings" w:cs="Wingdings" w:hint="default"/>
      </w:rPr>
    </w:lvl>
    <w:lvl w:ilvl="6">
      <w:start w:val="1"/>
      <w:numFmt w:val="bullet"/>
      <w:lvlText w:val="l"/>
      <w:lvlJc w:val="left"/>
      <w:pPr>
        <w:tabs>
          <w:tab w:val="num" w:pos="0"/>
        </w:tabs>
        <w:ind w:left="2880" w:hanging="360"/>
      </w:pPr>
      <w:rPr>
        <w:rFonts w:ascii="Wingdings" w:hAnsi="Wingdings" w:cs="Wingdings" w:hint="default"/>
      </w:rPr>
    </w:lvl>
    <w:lvl w:ilvl="7">
      <w:start w:val="1"/>
      <w:numFmt w:val="bullet"/>
      <w:lvlText w:val="l"/>
      <w:lvlJc w:val="left"/>
      <w:pPr>
        <w:tabs>
          <w:tab w:val="num" w:pos="0"/>
        </w:tabs>
        <w:ind w:left="3240" w:hanging="360"/>
      </w:pPr>
      <w:rPr>
        <w:rFonts w:ascii="Wingdings" w:hAnsi="Wingdings" w:cs="Wingdings" w:hint="default"/>
      </w:rPr>
    </w:lvl>
    <w:lvl w:ilvl="8">
      <w:start w:val="1"/>
      <w:numFmt w:val="bullet"/>
      <w:lvlText w:val="l"/>
      <w:lvlJc w:val="left"/>
      <w:pPr>
        <w:tabs>
          <w:tab w:val="num" w:pos="0"/>
        </w:tabs>
        <w:ind w:left="3600" w:hanging="360"/>
      </w:pPr>
      <w:rPr>
        <w:rFonts w:ascii="Wingdings" w:hAnsi="Wingdings" w:cs="Wingdings" w:hint="default"/>
      </w:rPr>
    </w:lvl>
  </w:abstractNum>
  <w:abstractNum w:abstractNumId="9">
    <w:lvl w:ilvl="0">
      <w:start w:val="1"/>
      <w:numFmt w:val="bullet"/>
      <w:lvlText w:val="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l"/>
      <w:lvlJc w:val="left"/>
      <w:pPr>
        <w:tabs>
          <w:tab w:val="num" w:pos="0"/>
        </w:tabs>
        <w:ind w:left="1800" w:hanging="360"/>
      </w:pPr>
      <w:rPr>
        <w:rFonts w:ascii="Wingdings" w:hAnsi="Wingdings" w:cs="Wingdings"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l"/>
      <w:lvlJc w:val="left"/>
      <w:pPr>
        <w:tabs>
          <w:tab w:val="num" w:pos="0"/>
        </w:tabs>
        <w:ind w:left="2880" w:hanging="360"/>
      </w:pPr>
      <w:rPr>
        <w:rFonts w:ascii="Wingdings" w:hAnsi="Wingdings" w:cs="Wingdings"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0">
    <w:lvl w:ilvl="0">
      <w:start w:val="1"/>
      <w:numFmt w:val="bullet"/>
      <w:lvlText w:val="l"/>
      <w:lvlJc w:val="left"/>
      <w:pPr>
        <w:tabs>
          <w:tab w:val="num" w:pos="0"/>
        </w:tabs>
        <w:ind w:left="510" w:hanging="285"/>
      </w:pPr>
      <w:rPr>
        <w:rFonts w:ascii="Wingdings" w:hAnsi="Wingdings" w:cs="Wingdings" w:hint="default"/>
      </w:rPr>
    </w:lvl>
    <w:lvl w:ilvl="1">
      <w:start w:val="1"/>
      <w:numFmt w:val="bullet"/>
      <w:lvlText w:val="◦"/>
      <w:lvlJc w:val="left"/>
      <w:pPr>
        <w:tabs>
          <w:tab w:val="num" w:pos="0"/>
        </w:tabs>
        <w:ind w:left="992" w:hanging="510"/>
      </w:pPr>
      <w:rPr>
        <w:rFonts w:ascii="OpenSymbol" w:hAnsi="OpenSymbol" w:cs="OpenSymbol" w:hint="default"/>
      </w:rPr>
    </w:lvl>
    <w:lvl w:ilvl="2">
      <w:start w:val="1"/>
      <w:numFmt w:val="bullet"/>
      <w:lvlText w:val="l"/>
      <w:lvlJc w:val="left"/>
      <w:pPr>
        <w:tabs>
          <w:tab w:val="num" w:pos="0"/>
        </w:tabs>
        <w:ind w:left="2025" w:hanging="360"/>
      </w:pPr>
      <w:rPr>
        <w:rFonts w:ascii="Wingdings" w:hAnsi="Wingdings" w:cs="Wingdings" w:hint="default"/>
      </w:rPr>
    </w:lvl>
    <w:lvl w:ilvl="3">
      <w:start w:val="1"/>
      <w:numFmt w:val="bullet"/>
      <w:lvlText w:val="l"/>
      <w:lvlJc w:val="left"/>
      <w:pPr>
        <w:tabs>
          <w:tab w:val="num" w:pos="0"/>
        </w:tabs>
        <w:ind w:left="2745" w:hanging="360"/>
      </w:pPr>
      <w:rPr>
        <w:rFonts w:ascii="Wingdings" w:hAnsi="Wingdings" w:cs="Wingdings" w:hint="default"/>
      </w:rPr>
    </w:lvl>
    <w:lvl w:ilvl="4">
      <w:start w:val="1"/>
      <w:numFmt w:val="bullet"/>
      <w:lvlText w:val="o"/>
      <w:lvlJc w:val="left"/>
      <w:pPr>
        <w:tabs>
          <w:tab w:val="num" w:pos="0"/>
        </w:tabs>
        <w:ind w:left="3465" w:hanging="360"/>
      </w:pPr>
      <w:rPr>
        <w:rFonts w:ascii="OpenSymbol" w:hAnsi="OpenSymbol" w:cs="OpenSymbol" w:hint="default"/>
      </w:rPr>
    </w:lvl>
    <w:lvl w:ilvl="5">
      <w:start w:val="1"/>
      <w:numFmt w:val="bullet"/>
      <w:lvlText w:val="l"/>
      <w:lvlJc w:val="left"/>
      <w:pPr>
        <w:tabs>
          <w:tab w:val="num" w:pos="0"/>
        </w:tabs>
        <w:ind w:left="4185" w:hanging="360"/>
      </w:pPr>
      <w:rPr>
        <w:rFonts w:ascii="Wingdings" w:hAnsi="Wingdings" w:cs="Wingdings" w:hint="default"/>
      </w:rPr>
    </w:lvl>
    <w:lvl w:ilvl="6">
      <w:start w:val="1"/>
      <w:numFmt w:val="bullet"/>
      <w:lvlText w:val="l"/>
      <w:lvlJc w:val="left"/>
      <w:pPr>
        <w:tabs>
          <w:tab w:val="num" w:pos="0"/>
        </w:tabs>
        <w:ind w:left="4905" w:hanging="360"/>
      </w:pPr>
      <w:rPr>
        <w:rFonts w:ascii="Wingdings" w:hAnsi="Wingdings" w:cs="Wingdings" w:hint="default"/>
      </w:rPr>
    </w:lvl>
    <w:lvl w:ilvl="7">
      <w:start w:val="1"/>
      <w:numFmt w:val="bullet"/>
      <w:lvlText w:val="o"/>
      <w:lvlJc w:val="left"/>
      <w:pPr>
        <w:tabs>
          <w:tab w:val="num" w:pos="0"/>
        </w:tabs>
        <w:ind w:left="5625" w:hanging="360"/>
      </w:pPr>
      <w:rPr>
        <w:rFonts w:ascii="OpenSymbol" w:hAnsi="OpenSymbol" w:cs="OpenSymbol" w:hint="default"/>
      </w:rPr>
    </w:lvl>
    <w:lvl w:ilvl="8">
      <w:start w:val="1"/>
      <w:numFmt w:val="bullet"/>
      <w:lvlText w:val="l"/>
      <w:lvlJc w:val="left"/>
      <w:pPr>
        <w:tabs>
          <w:tab w:val="num" w:pos="0"/>
        </w:tabs>
        <w:ind w:left="6345" w:hanging="360"/>
      </w:pPr>
      <w:rPr>
        <w:rFonts w:ascii="Wingdings" w:hAnsi="Wingdings" w:cs="Wingdings" w:hint="default"/>
      </w:rPr>
    </w:lvl>
  </w:abstractNum>
  <w:abstractNum w:abstractNumId="11">
    <w:lvl w:ilvl="0">
      <w:start w:val="1"/>
      <w:numFmt w:val="decimal"/>
      <w:lvlText w:val="%1."/>
      <w:lvlJc w:val="left"/>
      <w:pPr>
        <w:tabs>
          <w:tab w:val="num" w:pos="0"/>
        </w:tabs>
        <w:ind w:left="555" w:hanging="555"/>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widowControl/>
        <w:suppressAutoHyphens w:val="false"/>
        <w:spacing w:lineRule="auto" w:line="360"/>
        <w:jc w:val="both"/>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360" w:before="120" w:after="0"/>
      <w:jc w:val="both"/>
      <w:textAlignment w:val="auto"/>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s-ES" w:eastAsia="es-ES" w:bidi="ar-SA"/>
    </w:rPr>
  </w:style>
  <w:style w:type="paragraph" w:styleId="Ttulo1">
    <w:name w:val="Heading 1"/>
    <w:basedOn w:val="Normal1"/>
    <w:next w:val="Normal1"/>
    <w:qFormat/>
    <w:pPr>
      <w:keepNext w:val="true"/>
      <w:numPr>
        <w:ilvl w:val="0"/>
        <w:numId w:val="1"/>
      </w:numPr>
      <w:tabs>
        <w:tab w:val="clear" w:pos="720"/>
      </w:tabs>
      <w:suppressAutoHyphens w:val="true"/>
      <w:spacing w:before="0" w:after="120"/>
      <w:ind w:left="432" w:right="0" w:hanging="432"/>
      <w:outlineLvl w:val="0"/>
    </w:pPr>
    <w:rPr>
      <w:rFonts w:ascii="Arial" w:hAnsi="Arial" w:eastAsia="Arial" w:cs="Arial"/>
      <w:b/>
      <w:bCs/>
      <w:sz w:val="28"/>
      <w:szCs w:val="28"/>
    </w:rPr>
  </w:style>
  <w:style w:type="paragraph" w:styleId="Ttulo2">
    <w:name w:val="Heading 2"/>
    <w:basedOn w:val="Normal1"/>
    <w:next w:val="Normal1"/>
    <w:qFormat/>
    <w:pPr>
      <w:keepNext w:val="true"/>
      <w:numPr>
        <w:ilvl w:val="1"/>
        <w:numId w:val="1"/>
      </w:numPr>
      <w:tabs>
        <w:tab w:val="clear" w:pos="720"/>
      </w:tabs>
      <w:suppressAutoHyphens w:val="true"/>
      <w:spacing w:lineRule="auto" w:line="240" w:before="0" w:after="0"/>
      <w:ind w:left="576" w:right="0" w:hanging="576"/>
      <w:outlineLvl w:val="1"/>
    </w:pPr>
    <w:rPr>
      <w:rFonts w:ascii="Arial Narrow" w:hAnsi="Arial Narrow" w:eastAsia="Arial Narrow" w:cs="Arial Narrow"/>
      <w:b/>
      <w:bCs/>
      <w:sz w:val="14"/>
      <w:szCs w:val="14"/>
    </w:rPr>
  </w:style>
  <w:style w:type="paragraph" w:styleId="Ttulo3">
    <w:name w:val="Heading 3"/>
    <w:basedOn w:val="Normal1"/>
    <w:next w:val="Normal1"/>
    <w:qFormat/>
    <w:pPr>
      <w:keepNext w:val="true"/>
      <w:numPr>
        <w:ilvl w:val="2"/>
        <w:numId w:val="1"/>
      </w:numPr>
      <w:tabs>
        <w:tab w:val="clear" w:pos="720"/>
      </w:tabs>
      <w:suppressAutoHyphens w:val="true"/>
      <w:ind w:left="708" w:right="0" w:hanging="0"/>
      <w:jc w:val="center"/>
      <w:outlineLvl w:val="2"/>
    </w:pPr>
    <w:rPr>
      <w:b/>
      <w:bCs/>
      <w:sz w:val="22"/>
      <w:szCs w:val="22"/>
      <w:u w:val="single"/>
    </w:rPr>
  </w:style>
  <w:style w:type="paragraph" w:styleId="Ttulo4">
    <w:name w:val="Heading 4"/>
    <w:basedOn w:val="Normal1"/>
    <w:next w:val="Normal1"/>
    <w:qFormat/>
    <w:pPr>
      <w:keepNext w:val="true"/>
      <w:numPr>
        <w:ilvl w:val="3"/>
        <w:numId w:val="1"/>
      </w:numPr>
      <w:tabs>
        <w:tab w:val="clear" w:pos="720"/>
      </w:tabs>
      <w:suppressAutoHyphens w:val="true"/>
      <w:ind w:left="705" w:right="0" w:hanging="0"/>
      <w:jc w:val="center"/>
      <w:outlineLvl w:val="3"/>
    </w:pPr>
    <w:rPr>
      <w:b/>
      <w:bCs/>
      <w:sz w:val="22"/>
      <w:szCs w:val="22"/>
      <w:u w:val="single"/>
    </w:rPr>
  </w:style>
  <w:style w:type="paragraph" w:styleId="Ttulo5">
    <w:name w:val="Heading 5"/>
    <w:basedOn w:val="Normal1"/>
    <w:next w:val="Normal1"/>
    <w:qFormat/>
    <w:pPr>
      <w:keepNext w:val="true"/>
      <w:numPr>
        <w:ilvl w:val="4"/>
        <w:numId w:val="1"/>
      </w:numPr>
      <w:tabs>
        <w:tab w:val="clear" w:pos="720"/>
      </w:tabs>
      <w:suppressAutoHyphens w:val="true"/>
      <w:spacing w:lineRule="auto" w:line="240" w:before="0" w:after="0"/>
      <w:ind w:left="1008" w:right="0" w:hanging="1008"/>
      <w:jc w:val="center"/>
      <w:outlineLvl w:val="4"/>
    </w:pPr>
    <w:rPr>
      <w:rFonts w:ascii="Arial Narrow" w:hAnsi="Arial Narrow" w:eastAsia="Arial Narrow" w:cs="Arial Narrow"/>
      <w:b/>
      <w:bCs/>
      <w:i/>
      <w:iCs/>
      <w:sz w:val="18"/>
      <w:szCs w:val="18"/>
    </w:rPr>
  </w:style>
  <w:style w:type="paragraph" w:styleId="Ttulo6">
    <w:name w:val="Heading 6"/>
    <w:basedOn w:val="Normal1"/>
    <w:next w:val="Normal1"/>
    <w:qFormat/>
    <w:pPr>
      <w:keepNext w:val="true"/>
      <w:numPr>
        <w:ilvl w:val="5"/>
        <w:numId w:val="1"/>
      </w:numPr>
      <w:tabs>
        <w:tab w:val="clear" w:pos="720"/>
      </w:tabs>
      <w:suppressAutoHyphens w:val="true"/>
      <w:ind w:left="1152" w:right="0" w:hanging="1152"/>
      <w:jc w:val="center"/>
      <w:outlineLvl w:val="5"/>
    </w:pPr>
    <w:rPr>
      <w:b/>
      <w:bCs/>
      <w:sz w:val="22"/>
      <w:szCs w:val="22"/>
    </w:rPr>
  </w:style>
  <w:style w:type="character" w:styleId="Fuentedeprrafopredeter">
    <w:name w:val="Fuente de párrafo predeter."/>
    <w:qFormat/>
    <w:rPr/>
  </w:style>
  <w:style w:type="character" w:styleId="WWCharLFO6LVL1">
    <w:name w:val="WW_CharLFO6LVL1"/>
    <w:qFormat/>
    <w:rPr>
      <w:rFonts w:ascii="Roboto" w:hAnsi="Roboto" w:eastAsia="Roboto" w:cs="Roboto"/>
    </w:rPr>
  </w:style>
  <w:style w:type="paragraph" w:styleId="Ttulo">
    <w:name w:val="Título"/>
    <w:basedOn w:val="Normal1"/>
    <w:next w:val="Normal1"/>
    <w:qFormat/>
    <w:pPr>
      <w:keepNext w:val="true"/>
      <w:keepLines/>
      <w:suppressAutoHyphens w:val="true"/>
      <w:spacing w:before="480" w:after="120"/>
    </w:pPr>
    <w:rPr>
      <w:b/>
      <w:bCs/>
      <w:sz w:val="72"/>
      <w:szCs w:val="72"/>
    </w:rPr>
  </w:style>
  <w:style w:type="paragraph" w:styleId="Cuerpodetexto">
    <w:name w:val="Body Text"/>
    <w:basedOn w:val="Normal"/>
    <w:pPr>
      <w:spacing w:lineRule="auto" w:line="276" w:before="0" w:after="140"/>
    </w:pPr>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360" w:before="120" w:after="0"/>
      <w:jc w:val="both"/>
      <w:textAlignment w:val="auto"/>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0"/>
      <w:sz w:val="20"/>
      <w:szCs w:val="20"/>
      <w:u w:val="none"/>
      <w:shd w:fill="auto" w:val="clear"/>
      <w:vertAlign w:val="baseline"/>
      <w:em w:val="none"/>
      <w:lang w:val="es-ES" w:eastAsia="es-ES" w:bidi="ar-SA"/>
    </w:rPr>
  </w:style>
  <w:style w:type="paragraph" w:styleId="Subttulo">
    <w:name w:val="Subtitle"/>
    <w:basedOn w:val="Normal1"/>
    <w:next w:val="Normal1"/>
    <w:qFormat/>
    <w:pPr>
      <w:keepNext w:val="true"/>
      <w:keepLines/>
      <w:suppressAutoHyphens w:val="true"/>
      <w:spacing w:before="360" w:after="80"/>
    </w:pPr>
    <w:rPr>
      <w:rFonts w:ascii="Georgia" w:hAnsi="Georgia" w:eastAsia="Georgia" w:cs="Georgia"/>
      <w:i/>
      <w:iCs/>
      <w:color w:val="666666"/>
      <w:sz w:val="48"/>
      <w:szCs w:val="48"/>
    </w:rPr>
  </w:style>
  <w:style w:type="paragraph" w:styleId="Cabeceraypie">
    <w:name w:val="Cabecera y pie"/>
    <w:basedOn w:val="Normal"/>
    <w:qFormat/>
    <w:pPr>
      <w:suppressLineNumbers/>
      <w:tabs>
        <w:tab w:val="clear" w:pos="720"/>
        <w:tab w:val="center" w:pos="4819" w:leader="none"/>
        <w:tab w:val="right" w:pos="9638" w:leader="none"/>
      </w:tabs>
    </w:pPr>
    <w:rPr/>
  </w:style>
  <w:style w:type="paragraph" w:styleId="Cabecera">
    <w:name w:val="Header"/>
    <w:basedOn w:val="Cabeceraypie"/>
    <w:pPr>
      <w:suppressLineNumbers/>
    </w:pPr>
    <w:rPr/>
  </w:style>
  <w:style w:type="paragraph" w:styleId="Piedepgina">
    <w:name w:val="Footer"/>
    <w:basedOn w:val="Cabeceraypie"/>
    <w:pPr>
      <w:suppressLineNumbers/>
    </w:pPr>
    <w:rPr/>
  </w:style>
  <w:style w:type="paragraph" w:styleId="Contenidodelatabla">
    <w:name w:val="Contenido de la tabla"/>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
  <TotalTime>2</TotalTime>
  <Application>LibreOffice/7.3.7.2$Linux_X86_64 LibreOffice_project/30$Build-2</Application>
  <AppVersion>15.0000</AppVersion>
  <Pages>12</Pages>
  <Words>1683</Words>
  <Characters>9915</Characters>
  <CharactersWithSpaces>11453</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2026-06-23T12:32:00Z</dcterms:created>
  <dc:creator/>
  <dc:description/>
  <dc:language>es-ES</dc:language>
  <cp:lastModifiedBy>mar gonzalez sanchez</cp:lastModifiedBy>
  <dcterms:modified xsi:type="dcterms:W3CDTF">2026-06-23T12:32:00Z</dcterms:modified>
  <cp:revision>2</cp:revision>
  <dc:subject/>
  <dc:title/>
</cp:coreProperties>
</file>